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2F281" w14:textId="77777777" w:rsidR="00246A88" w:rsidRPr="009E1F4B" w:rsidRDefault="00A2433C" w:rsidP="00A2433C">
      <w:pPr>
        <w:jc w:val="center"/>
        <w:rPr>
          <w:b/>
          <w:sz w:val="40"/>
          <w:szCs w:val="40"/>
        </w:rPr>
      </w:pPr>
      <w:r w:rsidRPr="009E1F4B">
        <w:rPr>
          <w:b/>
          <w:sz w:val="40"/>
          <w:szCs w:val="40"/>
        </w:rPr>
        <w:t xml:space="preserve">COURSE </w:t>
      </w:r>
      <w:r w:rsidR="009C43DC" w:rsidRPr="009E1F4B">
        <w:rPr>
          <w:b/>
          <w:sz w:val="40"/>
          <w:szCs w:val="40"/>
        </w:rPr>
        <w:t>FACT SHEET</w:t>
      </w:r>
    </w:p>
    <w:p w14:paraId="75CE055E" w14:textId="35ED3269" w:rsidR="008C3049" w:rsidRPr="00166575" w:rsidRDefault="007126DD" w:rsidP="005A33CF">
      <w:pPr>
        <w:jc w:val="center"/>
        <w:rPr>
          <w:b/>
          <w:sz w:val="38"/>
          <w:szCs w:val="40"/>
        </w:rPr>
      </w:pPr>
      <w:r w:rsidRPr="6AB23873">
        <w:rPr>
          <w:b/>
          <w:bCs/>
          <w:sz w:val="38"/>
          <w:szCs w:val="38"/>
        </w:rPr>
        <w:t>FNS</w:t>
      </w:r>
      <w:r w:rsidR="001253BB" w:rsidRPr="6AB23873">
        <w:rPr>
          <w:b/>
          <w:bCs/>
          <w:sz w:val="38"/>
          <w:szCs w:val="38"/>
        </w:rPr>
        <w:t>402</w:t>
      </w:r>
      <w:r w:rsidR="00DF0FB6">
        <w:rPr>
          <w:b/>
          <w:bCs/>
          <w:sz w:val="38"/>
          <w:szCs w:val="38"/>
        </w:rPr>
        <w:t>22</w:t>
      </w:r>
      <w:r w:rsidRPr="6AB23873">
        <w:rPr>
          <w:b/>
          <w:bCs/>
          <w:sz w:val="38"/>
          <w:szCs w:val="38"/>
        </w:rPr>
        <w:t xml:space="preserve"> </w:t>
      </w:r>
      <w:r w:rsidR="004E2D38" w:rsidRPr="6AB23873">
        <w:rPr>
          <w:b/>
          <w:bCs/>
          <w:sz w:val="38"/>
          <w:szCs w:val="38"/>
        </w:rPr>
        <w:t>Certificate IV</w:t>
      </w:r>
      <w:r w:rsidR="005A33CF" w:rsidRPr="6AB23873">
        <w:rPr>
          <w:b/>
          <w:bCs/>
          <w:sz w:val="38"/>
          <w:szCs w:val="38"/>
        </w:rPr>
        <w:t xml:space="preserve"> in </w:t>
      </w:r>
      <w:r w:rsidR="00166575" w:rsidRPr="6AB23873">
        <w:rPr>
          <w:b/>
          <w:bCs/>
          <w:sz w:val="38"/>
          <w:szCs w:val="38"/>
        </w:rPr>
        <w:t xml:space="preserve">Accounting and </w:t>
      </w:r>
      <w:r w:rsidR="007466D7" w:rsidRPr="6AB23873">
        <w:rPr>
          <w:b/>
          <w:bCs/>
          <w:sz w:val="38"/>
          <w:szCs w:val="38"/>
        </w:rPr>
        <w:t>Bookkeeping</w:t>
      </w:r>
      <w:r w:rsidRPr="6AB23873">
        <w:rPr>
          <w:b/>
          <w:bCs/>
          <w:sz w:val="38"/>
          <w:szCs w:val="38"/>
        </w:rPr>
        <w:t xml:space="preserve"> </w:t>
      </w:r>
    </w:p>
    <w:p w14:paraId="0A63A462" w14:textId="2A4F8E26" w:rsidR="31B8D688" w:rsidRDefault="31B8D688" w:rsidP="6AB23873">
      <w:pPr>
        <w:jc w:val="center"/>
        <w:rPr>
          <w:rFonts w:ascii="Times New Roman" w:eastAsia="Times New Roman" w:hAnsi="Times New Roman" w:cs="Times New Roman"/>
          <w:color w:val="000000" w:themeColor="text1"/>
        </w:rPr>
      </w:pPr>
      <w:r w:rsidRPr="6AB23873">
        <w:rPr>
          <w:rFonts w:ascii="Times New Roman" w:eastAsia="Times New Roman" w:hAnsi="Times New Roman" w:cs="Times New Roman"/>
          <w:b/>
          <w:bCs/>
          <w:color w:val="000000" w:themeColor="text1"/>
        </w:rPr>
        <w:t>For domestic students and non-student temporary visa holders with full study right</w:t>
      </w:r>
    </w:p>
    <w:p w14:paraId="0EBC536B" w14:textId="10E3D6ED" w:rsidR="6AB23873" w:rsidRDefault="6AB23873" w:rsidP="6AB23873">
      <w:pPr>
        <w:jc w:val="center"/>
        <w:rPr>
          <w:b/>
          <w:bCs/>
          <w:sz w:val="24"/>
          <w:szCs w:val="24"/>
        </w:rPr>
      </w:pPr>
    </w:p>
    <w:p w14:paraId="4C381E69" w14:textId="77777777" w:rsidR="00F63D0A" w:rsidRPr="009E1F4B" w:rsidRDefault="00F63D0A" w:rsidP="00F63D0A">
      <w:pPr>
        <w:rPr>
          <w:b/>
          <w:sz w:val="28"/>
          <w:szCs w:val="28"/>
        </w:rPr>
      </w:pPr>
      <w:r w:rsidRPr="009E1F4B">
        <w:rPr>
          <w:b/>
          <w:sz w:val="28"/>
          <w:szCs w:val="28"/>
        </w:rPr>
        <w:t>Global Business College of Australia:</w:t>
      </w:r>
    </w:p>
    <w:p w14:paraId="1FF382E1" w14:textId="77777777" w:rsidR="00F63D0A" w:rsidRPr="004C7315" w:rsidRDefault="00F63D0A" w:rsidP="00F63D0A">
      <w:r w:rsidRPr="004C7315">
        <w:t>We are a vocational education and training provider committed to improving students’ practical application abilities and skills, by providing students with high quality international education services to better prepare them for the workforce.</w:t>
      </w:r>
    </w:p>
    <w:p w14:paraId="5BF0B852" w14:textId="77777777" w:rsidR="00F63D0A" w:rsidRPr="009E1F4B" w:rsidRDefault="00F63D0A" w:rsidP="00F63D0A">
      <w:pPr>
        <w:rPr>
          <w:b/>
          <w:sz w:val="28"/>
          <w:szCs w:val="28"/>
        </w:rPr>
      </w:pPr>
      <w:r w:rsidRPr="009E1F4B">
        <w:rPr>
          <w:b/>
          <w:sz w:val="28"/>
          <w:szCs w:val="28"/>
        </w:rPr>
        <w:t xml:space="preserve">GBCA Values: </w:t>
      </w:r>
      <w:r w:rsidRPr="004C7315">
        <w:t>Innovative Minds, Caring Hearts, Global Skills</w:t>
      </w:r>
    </w:p>
    <w:p w14:paraId="3CDBFFAD" w14:textId="77777777" w:rsidR="00F63D0A" w:rsidRPr="009E1F4B" w:rsidRDefault="00F63D0A" w:rsidP="00F63D0A">
      <w:pPr>
        <w:rPr>
          <w:b/>
        </w:rPr>
      </w:pPr>
      <w:r w:rsidRPr="009E1F4B">
        <w:rPr>
          <w:b/>
        </w:rPr>
        <w:t>Course Description:</w:t>
      </w:r>
    </w:p>
    <w:p w14:paraId="5EEC5A2D" w14:textId="77777777" w:rsidR="00F63D0A" w:rsidRPr="009E1F4B" w:rsidRDefault="00F63D0A" w:rsidP="00F63D0A">
      <w:r w:rsidRPr="009E1F4B">
        <w:t xml:space="preserve">This course is part of the Financial Services Training Package and satisfies the Australian Qualifications Framework (AQF) guidelines. This qualification reflects the job roles of contract bookkeepers and employees performing bookkeeping tasks for organisations in a range of industries. </w:t>
      </w:r>
    </w:p>
    <w:p w14:paraId="2C4C5162" w14:textId="77777777" w:rsidR="00F63D0A" w:rsidRDefault="00F63D0A" w:rsidP="00F63D0A">
      <w:r w:rsidRPr="009E1F4B">
        <w:t>This may include:</w:t>
      </w:r>
    </w:p>
    <w:p w14:paraId="06DAD8B3" w14:textId="77777777" w:rsidR="004768F9" w:rsidRPr="004768F9" w:rsidRDefault="004768F9" w:rsidP="004768F9">
      <w:pPr>
        <w:numPr>
          <w:ilvl w:val="0"/>
          <w:numId w:val="6"/>
        </w:numPr>
        <w:spacing w:after="0" w:line="240" w:lineRule="auto"/>
      </w:pPr>
      <w:r>
        <w:t>E</w:t>
      </w:r>
      <w:r w:rsidRPr="004768F9">
        <w:t>stablishing and maintaining manual and computerised accounting systems</w:t>
      </w:r>
    </w:p>
    <w:p w14:paraId="14B7F211" w14:textId="77777777" w:rsidR="004768F9" w:rsidRPr="004768F9" w:rsidRDefault="004768F9" w:rsidP="004768F9">
      <w:pPr>
        <w:numPr>
          <w:ilvl w:val="0"/>
          <w:numId w:val="6"/>
        </w:numPr>
        <w:spacing w:after="0" w:line="240" w:lineRule="auto"/>
      </w:pPr>
      <w:r>
        <w:t>C</w:t>
      </w:r>
      <w:r w:rsidRPr="004768F9">
        <w:t>ompleting Business Activity Statements (BAS) and other office financial statements</w:t>
      </w:r>
    </w:p>
    <w:p w14:paraId="6FCE4200" w14:textId="77777777" w:rsidR="004768F9" w:rsidRPr="004768F9" w:rsidRDefault="004768F9" w:rsidP="004768F9">
      <w:pPr>
        <w:numPr>
          <w:ilvl w:val="0"/>
          <w:numId w:val="6"/>
        </w:numPr>
        <w:spacing w:after="0" w:line="240" w:lineRule="auto"/>
      </w:pPr>
      <w:r>
        <w:t>D</w:t>
      </w:r>
      <w:r w:rsidRPr="004768F9">
        <w:t>eveloping bookkeeping management systems for organisations</w:t>
      </w:r>
    </w:p>
    <w:p w14:paraId="56C6F34F" w14:textId="77777777" w:rsidR="004768F9" w:rsidRPr="004768F9" w:rsidRDefault="004768F9" w:rsidP="004768F9">
      <w:pPr>
        <w:numPr>
          <w:ilvl w:val="0"/>
          <w:numId w:val="6"/>
        </w:numPr>
        <w:spacing w:after="0" w:line="240" w:lineRule="auto"/>
      </w:pPr>
      <w:r>
        <w:t>G</w:t>
      </w:r>
      <w:r w:rsidRPr="004768F9">
        <w:t>eneral administration.</w:t>
      </w:r>
    </w:p>
    <w:p w14:paraId="2970FA89" w14:textId="77777777" w:rsidR="00F63D0A" w:rsidRDefault="00F63D0A" w:rsidP="00F63D0A">
      <w:pPr>
        <w:pStyle w:val="ListParagraph"/>
        <w:spacing w:after="0"/>
        <w:rPr>
          <w:sz w:val="2"/>
        </w:rPr>
      </w:pPr>
    </w:p>
    <w:p w14:paraId="6E4835A1" w14:textId="77777777" w:rsidR="004768F9" w:rsidRPr="009E1F4B" w:rsidRDefault="004768F9" w:rsidP="00F63D0A">
      <w:pPr>
        <w:pStyle w:val="ListParagraph"/>
        <w:spacing w:after="0"/>
        <w:rPr>
          <w:sz w:val="2"/>
        </w:rPr>
      </w:pPr>
    </w:p>
    <w:p w14:paraId="0FA8CF3B" w14:textId="77777777" w:rsidR="002E5493" w:rsidRDefault="002E5493" w:rsidP="00F63D0A"/>
    <w:p w14:paraId="6970697B" w14:textId="4A3C8AE2" w:rsidR="00F63D0A" w:rsidRDefault="00F63D0A" w:rsidP="00F63D0A">
      <w:r w:rsidRPr="009E1F4B">
        <w:t>This qualification is suitable for candidates currently working in bookkeeping roles who are seeking a formal qualification to enhance and confirm their existing knowledge and skills.</w:t>
      </w:r>
    </w:p>
    <w:p w14:paraId="5F25000F" w14:textId="325CD44D" w:rsidR="00E74E6D" w:rsidRPr="00E74E6D" w:rsidRDefault="00E74E6D" w:rsidP="00F63D0A">
      <w:pPr>
        <w:rPr>
          <w:i/>
          <w:iCs/>
        </w:rPr>
      </w:pPr>
      <w:r w:rsidRPr="00E74E6D">
        <w:rPr>
          <w:i/>
          <w:iCs/>
        </w:rPr>
        <w:t xml:space="preserve">Candidates intending to apply for a BAS agent registration with the Tax Practitioners Board must undertake assessments for the units FNSTPB411 and FNSTPB412 separately, under supervision. Please make an inquiry with us prior to </w:t>
      </w:r>
      <w:r w:rsidRPr="00E74E6D">
        <w:rPr>
          <w:i/>
          <w:iCs/>
        </w:rPr>
        <w:t>enrolment</w:t>
      </w:r>
      <w:r w:rsidRPr="00E74E6D">
        <w:rPr>
          <w:i/>
          <w:iCs/>
        </w:rPr>
        <w:t>.</w:t>
      </w:r>
    </w:p>
    <w:p w14:paraId="188B72FF" w14:textId="02826338" w:rsidR="00DF01B9" w:rsidRDefault="00F63D0A" w:rsidP="00F63D0A">
      <w:pPr>
        <w:rPr>
          <w:color w:val="000000" w:themeColor="text1"/>
        </w:rPr>
      </w:pPr>
      <w:r w:rsidRPr="009E1F4B">
        <w:rPr>
          <w:b/>
        </w:rPr>
        <w:t>Course duration:</w:t>
      </w:r>
      <w:r w:rsidRPr="009E1F4B">
        <w:rPr>
          <w:color w:val="000000" w:themeColor="text1"/>
        </w:rPr>
        <w:t xml:space="preserve"> </w:t>
      </w:r>
    </w:p>
    <w:p w14:paraId="44F19A96" w14:textId="22D0E7B9" w:rsidR="00DF01B9" w:rsidRDefault="00DF01B9" w:rsidP="1C2C1CC6">
      <w:pPr>
        <w:rPr>
          <w:rFonts w:ascii="Calibri" w:eastAsia="Calibri" w:hAnsi="Calibri" w:cs="Calibri"/>
          <w:color w:val="000000" w:themeColor="text1"/>
        </w:rPr>
      </w:pPr>
      <w:r w:rsidRPr="1C2C1CC6">
        <w:rPr>
          <w:rFonts w:cs="Arial"/>
        </w:rPr>
        <w:t xml:space="preserve">This course is delivered over </w:t>
      </w:r>
      <w:r w:rsidR="00994EE7" w:rsidRPr="1C2C1CC6">
        <w:rPr>
          <w:rFonts w:cs="Arial"/>
        </w:rPr>
        <w:t xml:space="preserve">a maximum of </w:t>
      </w:r>
      <w:r w:rsidR="0EC461F5" w:rsidRPr="1C2C1CC6">
        <w:rPr>
          <w:rFonts w:cs="Arial"/>
        </w:rPr>
        <w:t>one year, including public holidays and term break.</w:t>
      </w:r>
      <w:r w:rsidR="00FC6C9D" w:rsidRPr="1C2C1CC6">
        <w:rPr>
          <w:rFonts w:cs="Arial"/>
        </w:rPr>
        <w:t xml:space="preserve"> </w:t>
      </w:r>
      <w:r w:rsidR="00FC6C9D" w:rsidRPr="1C2C1CC6">
        <w:rPr>
          <w:rFonts w:ascii="Calibri" w:eastAsia="Calibri" w:hAnsi="Calibri" w:cs="Calibri"/>
          <w:color w:val="000000" w:themeColor="text1"/>
        </w:rPr>
        <w:t>Fastrack learners may complete the course in a shorter duration.</w:t>
      </w:r>
    </w:p>
    <w:p w14:paraId="171BD63B" w14:textId="65A733FF" w:rsidR="00F63D0A" w:rsidRDefault="004C74F0" w:rsidP="00F63D0A">
      <w:pPr>
        <w:tabs>
          <w:tab w:val="center" w:pos="4513"/>
        </w:tabs>
      </w:pPr>
      <w:r>
        <w:rPr>
          <w:b/>
        </w:rPr>
        <w:t>M</w:t>
      </w:r>
      <w:r w:rsidR="00F63D0A" w:rsidRPr="009E1F4B">
        <w:rPr>
          <w:b/>
        </w:rPr>
        <w:t>ode</w:t>
      </w:r>
      <w:r>
        <w:rPr>
          <w:b/>
        </w:rPr>
        <w:t xml:space="preserve"> of study</w:t>
      </w:r>
      <w:r w:rsidR="00F63D0A" w:rsidRPr="009E1F4B">
        <w:rPr>
          <w:b/>
        </w:rPr>
        <w:t>:</w:t>
      </w:r>
      <w:r w:rsidR="00F63D0A" w:rsidRPr="009E1F4B">
        <w:t xml:space="preserve"> </w:t>
      </w:r>
      <w:r w:rsidR="00E74E6D">
        <w:t>Self-pace, Online</w:t>
      </w:r>
    </w:p>
    <w:p w14:paraId="7002CBD9" w14:textId="561337B2" w:rsidR="002E6672" w:rsidRPr="009E1F4B" w:rsidRDefault="002E6672" w:rsidP="00F63D0A">
      <w:pPr>
        <w:tabs>
          <w:tab w:val="center" w:pos="4513"/>
        </w:tabs>
      </w:pPr>
      <w:r w:rsidRPr="004C74F0">
        <w:rPr>
          <w:b/>
          <w:bCs/>
        </w:rPr>
        <w:t>Duration:</w:t>
      </w:r>
      <w:r>
        <w:t xml:space="preserve"> </w:t>
      </w:r>
      <w:r w:rsidR="000317F6" w:rsidRPr="000317F6">
        <w:t>Applicants are expected to complete this qualification within an 8-month period. A course extension fee may apply for candidates who exceed the recommended timeframe.</w:t>
      </w:r>
    </w:p>
    <w:p w14:paraId="21F6659C" w14:textId="4681DDAA" w:rsidR="00F63D0A" w:rsidRPr="009E1F4B" w:rsidRDefault="00F63D0A" w:rsidP="00F63D0A">
      <w:r w:rsidRPr="49CA5E43">
        <w:rPr>
          <w:b/>
          <w:bCs/>
        </w:rPr>
        <w:t>Campus location:</w:t>
      </w:r>
      <w:r w:rsidR="004C7315">
        <w:t xml:space="preserve"> 337-339 La Trobe </w:t>
      </w:r>
      <w:r w:rsidR="5B63B007">
        <w:t>S</w:t>
      </w:r>
      <w:r>
        <w:t>treet</w:t>
      </w:r>
      <w:r w:rsidR="004C7315">
        <w:t xml:space="preserve"> &amp; 338 Queen Street, Melbourne 3000</w:t>
      </w:r>
    </w:p>
    <w:p w14:paraId="42373CF0" w14:textId="01EC2631" w:rsidR="00D225D3" w:rsidRPr="009E1F4B" w:rsidRDefault="00F63D0A" w:rsidP="00F63D0A">
      <w:pPr>
        <w:autoSpaceDE w:val="0"/>
        <w:autoSpaceDN w:val="0"/>
        <w:adjustRightInd w:val="0"/>
        <w:spacing w:after="0" w:line="240" w:lineRule="auto"/>
        <w:rPr>
          <w:b/>
        </w:rPr>
      </w:pPr>
      <w:r w:rsidRPr="009E1F4B">
        <w:rPr>
          <w:b/>
        </w:rPr>
        <w:t xml:space="preserve">Entry requirements: </w:t>
      </w:r>
    </w:p>
    <w:p w14:paraId="5C29ADCF" w14:textId="77777777" w:rsidR="00FE1688" w:rsidRDefault="00FE1688" w:rsidP="00FE1688">
      <w:pPr>
        <w:autoSpaceDE w:val="0"/>
        <w:autoSpaceDN w:val="0"/>
        <w:adjustRightInd w:val="0"/>
        <w:spacing w:before="240" w:after="0" w:line="240" w:lineRule="auto"/>
      </w:pPr>
      <w:r>
        <w:lastRenderedPageBreak/>
        <w:t>There are no set requirements for this course. It is recommended that domestic students would meet one of below requirements:</w:t>
      </w:r>
    </w:p>
    <w:p w14:paraId="45FDCA3F" w14:textId="77777777" w:rsidR="00FE1688" w:rsidRDefault="00FE1688" w:rsidP="00FE1688">
      <w:pPr>
        <w:pStyle w:val="ListParagraph"/>
        <w:numPr>
          <w:ilvl w:val="0"/>
          <w:numId w:val="11"/>
        </w:numPr>
        <w:autoSpaceDE w:val="0"/>
        <w:autoSpaceDN w:val="0"/>
        <w:adjustRightInd w:val="0"/>
        <w:spacing w:before="240" w:after="0" w:line="240" w:lineRule="auto"/>
      </w:pPr>
      <w:r>
        <w:t>Satisfactory numeracy and literacy skills to undertake this course, or</w:t>
      </w:r>
    </w:p>
    <w:p w14:paraId="3444A9E1" w14:textId="77777777" w:rsidR="00FE1688" w:rsidRDefault="00FE1688" w:rsidP="00FE1688">
      <w:pPr>
        <w:pStyle w:val="ListParagraph"/>
        <w:numPr>
          <w:ilvl w:val="0"/>
          <w:numId w:val="11"/>
        </w:numPr>
        <w:autoSpaceDE w:val="0"/>
        <w:autoSpaceDN w:val="0"/>
        <w:adjustRightInd w:val="0"/>
        <w:spacing w:before="240" w:after="0" w:line="240" w:lineRule="auto"/>
      </w:pPr>
      <w:r>
        <w:t>Mature age and have sufficient work experience to successfully undertake this course, or</w:t>
      </w:r>
    </w:p>
    <w:p w14:paraId="4935F228" w14:textId="77777777" w:rsidR="00FE1688" w:rsidRDefault="00FE1688" w:rsidP="00FE1688">
      <w:pPr>
        <w:pStyle w:val="ListParagraph"/>
        <w:numPr>
          <w:ilvl w:val="0"/>
          <w:numId w:val="11"/>
        </w:numPr>
        <w:autoSpaceDE w:val="0"/>
        <w:autoSpaceDN w:val="0"/>
        <w:adjustRightInd w:val="0"/>
        <w:spacing w:before="240" w:after="0" w:line="240" w:lineRule="auto"/>
      </w:pPr>
      <w:r>
        <w:t>Satisfactory complete year 11.</w:t>
      </w:r>
    </w:p>
    <w:p w14:paraId="1A700388" w14:textId="77777777" w:rsidR="00175E47" w:rsidRPr="009E1F4B" w:rsidRDefault="00175E47" w:rsidP="00F63D0A">
      <w:pPr>
        <w:autoSpaceDE w:val="0"/>
        <w:autoSpaceDN w:val="0"/>
        <w:adjustRightInd w:val="0"/>
        <w:spacing w:after="0" w:line="240" w:lineRule="auto"/>
        <w:rPr>
          <w:b/>
        </w:rPr>
      </w:pPr>
    </w:p>
    <w:p w14:paraId="56443087" w14:textId="77777777" w:rsidR="00D225D3" w:rsidRPr="009E1F4B" w:rsidRDefault="00D225D3" w:rsidP="00D225D3">
      <w:pPr>
        <w:pStyle w:val="ListParagraph"/>
        <w:framePr w:hSpace="180" w:wrap="around" w:vAnchor="text" w:hAnchor="text" w:xAlign="right" w:y="1"/>
        <w:spacing w:after="0" w:line="240" w:lineRule="auto"/>
        <w:ind w:left="194"/>
        <w:suppressOverlap/>
        <w:jc w:val="both"/>
        <w:rPr>
          <w:rFonts w:cstheme="minorHAnsi"/>
        </w:rPr>
      </w:pPr>
    </w:p>
    <w:p w14:paraId="110686C2" w14:textId="77777777" w:rsidR="00F63D0A" w:rsidRPr="009E1F4B" w:rsidRDefault="00F63D0A" w:rsidP="00F63D0A">
      <w:pPr>
        <w:autoSpaceDE w:val="0"/>
        <w:autoSpaceDN w:val="0"/>
        <w:adjustRightInd w:val="0"/>
        <w:spacing w:after="0" w:line="240" w:lineRule="auto"/>
        <w:rPr>
          <w:rFonts w:cs="Times New Roman"/>
          <w:b/>
        </w:rPr>
      </w:pPr>
      <w:bookmarkStart w:id="0" w:name="_Hlk492048045"/>
      <w:r w:rsidRPr="009E1F4B">
        <w:rPr>
          <w:rFonts w:cs="Times New Roman"/>
          <w:b/>
        </w:rPr>
        <w:t>Material requirement:</w:t>
      </w:r>
    </w:p>
    <w:p w14:paraId="426C808A" w14:textId="45DB1728" w:rsidR="00F63D0A" w:rsidRPr="009E1F4B" w:rsidRDefault="00B61D25" w:rsidP="00AB7299">
      <w:pPr>
        <w:jc w:val="both"/>
      </w:pPr>
      <w:r w:rsidRPr="00B61D25">
        <w:t xml:space="preserve">Students are required to bring their own laptop with Microsoft Office </w:t>
      </w:r>
      <w:proofErr w:type="gramStart"/>
      <w:r w:rsidRPr="00B61D25">
        <w:t>2007</w:t>
      </w:r>
      <w:proofErr w:type="gramEnd"/>
      <w:r w:rsidRPr="00B61D25">
        <w:t xml:space="preserve"> or a later version installed for face-to-face classes. They will need to work on MYOB throughout the course. The MYOB educational version will be provided along with the learning resources, which are sold separately by Learner Link</w:t>
      </w:r>
      <w:r w:rsidR="00AB7299">
        <w:t>.</w:t>
      </w:r>
    </w:p>
    <w:bookmarkEnd w:id="0"/>
    <w:p w14:paraId="578C1396" w14:textId="07EE7A5F" w:rsidR="00F63D0A" w:rsidRDefault="00F63D0A" w:rsidP="00F63D0A">
      <w:pPr>
        <w:rPr>
          <w:rFonts w:cs="Times New Roman"/>
          <w:b/>
        </w:rPr>
      </w:pPr>
      <w:r w:rsidRPr="009E1F4B">
        <w:rPr>
          <w:rFonts w:cs="Times New Roman"/>
          <w:b/>
        </w:rPr>
        <w:t>Course Structure: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166575" w:rsidRPr="002F3236" w14:paraId="7ECA09B2" w14:textId="77777777" w:rsidTr="1441D4D1">
        <w:tc>
          <w:tcPr>
            <w:tcW w:w="9067" w:type="dxa"/>
            <w:shd w:val="clear" w:color="auto" w:fill="C0C0C0"/>
          </w:tcPr>
          <w:p w14:paraId="6467D7AE" w14:textId="1320F71E" w:rsidR="00166575" w:rsidRPr="002F3236" w:rsidRDefault="00EB2354" w:rsidP="00166575">
            <w:pPr>
              <w:autoSpaceDE w:val="0"/>
              <w:autoSpaceDN w:val="0"/>
              <w:adjustRightInd w:val="0"/>
              <w:rPr>
                <w:rFonts w:cstheme="minorHAnsi"/>
                <w:sz w:val="20"/>
                <w:szCs w:val="20"/>
              </w:rPr>
            </w:pPr>
            <w:r w:rsidRPr="009E1F4B">
              <w:rPr>
                <w:rFonts w:cs="Arial"/>
                <w:b/>
                <w:bCs/>
              </w:rPr>
              <w:t>Unit</w:t>
            </w:r>
            <w:r>
              <w:rPr>
                <w:rFonts w:cs="Arial"/>
                <w:b/>
                <w:bCs/>
              </w:rPr>
              <w:t>s</w:t>
            </w:r>
            <w:r w:rsidRPr="009E1F4B">
              <w:rPr>
                <w:rFonts w:cs="Arial"/>
                <w:b/>
                <w:bCs/>
              </w:rPr>
              <w:t xml:space="preserve"> </w:t>
            </w:r>
            <w:r>
              <w:rPr>
                <w:rFonts w:cs="Arial"/>
                <w:b/>
                <w:bCs/>
              </w:rPr>
              <w:t>of competency</w:t>
            </w:r>
          </w:p>
        </w:tc>
      </w:tr>
      <w:tr w:rsidR="00DF0FB6" w:rsidRPr="00FE125E" w14:paraId="472691AD" w14:textId="77777777" w:rsidTr="009053A8">
        <w:trPr>
          <w:trHeight w:val="300"/>
        </w:trPr>
        <w:tc>
          <w:tcPr>
            <w:tcW w:w="9067" w:type="dxa"/>
            <w:shd w:val="clear" w:color="auto" w:fill="auto"/>
            <w:vAlign w:val="center"/>
          </w:tcPr>
          <w:p w14:paraId="27E2E98D" w14:textId="03DF4D60" w:rsidR="00DF0FB6" w:rsidRPr="00FE125E" w:rsidRDefault="00DF0FB6" w:rsidP="00DF0FB6">
            <w:pPr>
              <w:shd w:val="clear" w:color="auto" w:fill="FFFFFF"/>
              <w:spacing w:before="120" w:after="120" w:line="384" w:lineRule="atLeast"/>
              <w:rPr>
                <w:rFonts w:cstheme="minorHAnsi"/>
                <w:sz w:val="20"/>
                <w:szCs w:val="20"/>
              </w:rPr>
            </w:pPr>
            <w:r w:rsidRPr="006815FA">
              <w:rPr>
                <w:rFonts w:ascii="Calibri" w:hAnsi="Calibri" w:cs="Calibri"/>
                <w:color w:val="000000"/>
                <w:sz w:val="20"/>
                <w:szCs w:val="20"/>
                <w:lang w:eastAsia="en-AU"/>
              </w:rPr>
              <w:t>BSBTEC302​ Design and produce spreadsheets</w:t>
            </w:r>
          </w:p>
        </w:tc>
      </w:tr>
      <w:tr w:rsidR="00DF0FB6" w:rsidRPr="00FE125E" w14:paraId="3E749E6E" w14:textId="77777777" w:rsidTr="009053A8">
        <w:trPr>
          <w:trHeight w:val="300"/>
        </w:trPr>
        <w:tc>
          <w:tcPr>
            <w:tcW w:w="9067" w:type="dxa"/>
            <w:shd w:val="clear" w:color="auto" w:fill="auto"/>
            <w:vAlign w:val="center"/>
          </w:tcPr>
          <w:p w14:paraId="2DAF7051" w14:textId="5036FA54" w:rsidR="00DF0FB6" w:rsidRPr="00FE125E" w:rsidRDefault="00DF0FB6" w:rsidP="00DF0FB6">
            <w:pPr>
              <w:shd w:val="clear" w:color="auto" w:fill="FFFFFF"/>
              <w:spacing w:before="120" w:after="120"/>
              <w:ind w:left="37"/>
              <w:rPr>
                <w:rFonts w:cstheme="minorHAnsi"/>
                <w:sz w:val="20"/>
                <w:szCs w:val="20"/>
              </w:rPr>
            </w:pPr>
            <w:r w:rsidRPr="006815FA">
              <w:rPr>
                <w:rFonts w:ascii="Calibri" w:hAnsi="Calibri" w:cs="Calibri"/>
                <w:color w:val="000000"/>
                <w:sz w:val="20"/>
                <w:szCs w:val="20"/>
                <w:lang w:eastAsia="en-AU"/>
              </w:rPr>
              <w:t>FNSACC321 Process financial transactions and extract interim reports</w:t>
            </w:r>
          </w:p>
        </w:tc>
      </w:tr>
      <w:tr w:rsidR="00DF0FB6" w:rsidRPr="00FE125E" w14:paraId="52A1E4EA" w14:textId="77777777" w:rsidTr="009053A8">
        <w:trPr>
          <w:trHeight w:val="300"/>
        </w:trPr>
        <w:tc>
          <w:tcPr>
            <w:tcW w:w="9067" w:type="dxa"/>
            <w:shd w:val="clear" w:color="auto" w:fill="auto"/>
            <w:vAlign w:val="center"/>
          </w:tcPr>
          <w:p w14:paraId="1AEEB4FC" w14:textId="50196139" w:rsidR="00DF0FB6" w:rsidRPr="00FE125E" w:rsidRDefault="00DF0FB6" w:rsidP="00DF0FB6">
            <w:pPr>
              <w:shd w:val="clear" w:color="auto" w:fill="FFFFFF"/>
              <w:spacing w:before="120" w:after="120"/>
              <w:rPr>
                <w:rFonts w:cstheme="minorHAnsi"/>
                <w:sz w:val="20"/>
                <w:szCs w:val="20"/>
              </w:rPr>
            </w:pPr>
            <w:r w:rsidRPr="006815FA">
              <w:rPr>
                <w:rFonts w:ascii="Calibri" w:hAnsi="Calibri" w:cs="Calibri"/>
                <w:color w:val="000000"/>
                <w:sz w:val="20"/>
                <w:szCs w:val="20"/>
                <w:lang w:eastAsia="en-AU"/>
              </w:rPr>
              <w:t>FNSACC322 Administer subsidiary accounts and ledgers</w:t>
            </w:r>
          </w:p>
        </w:tc>
      </w:tr>
      <w:tr w:rsidR="00DF0FB6" w:rsidRPr="00FE125E" w14:paraId="19658C28" w14:textId="77777777" w:rsidTr="009053A8">
        <w:trPr>
          <w:trHeight w:val="300"/>
        </w:trPr>
        <w:tc>
          <w:tcPr>
            <w:tcW w:w="9067" w:type="dxa"/>
            <w:shd w:val="clear" w:color="auto" w:fill="auto"/>
            <w:vAlign w:val="center"/>
          </w:tcPr>
          <w:p w14:paraId="27D7B5C8" w14:textId="204BD262" w:rsidR="00DF0FB6" w:rsidRPr="00FE125E" w:rsidRDefault="00DF0FB6" w:rsidP="00DF0FB6">
            <w:pPr>
              <w:shd w:val="clear" w:color="auto" w:fill="FFFFFF"/>
              <w:spacing w:before="120" w:after="120"/>
              <w:rPr>
                <w:rFonts w:cstheme="minorHAnsi"/>
                <w:sz w:val="20"/>
                <w:szCs w:val="20"/>
              </w:rPr>
            </w:pPr>
            <w:r w:rsidRPr="006815FA">
              <w:rPr>
                <w:rFonts w:ascii="Calibri" w:hAnsi="Calibri" w:cs="Calibri"/>
                <w:color w:val="000000"/>
                <w:sz w:val="20"/>
                <w:szCs w:val="20"/>
                <w:lang w:eastAsia="en-AU"/>
              </w:rPr>
              <w:t>FNSACC412 Prepare operational budgets</w:t>
            </w:r>
          </w:p>
        </w:tc>
      </w:tr>
      <w:tr w:rsidR="00DF0FB6" w:rsidRPr="00FE125E" w14:paraId="1446954F" w14:textId="77777777" w:rsidTr="009053A8">
        <w:trPr>
          <w:trHeight w:val="300"/>
        </w:trPr>
        <w:tc>
          <w:tcPr>
            <w:tcW w:w="9067" w:type="dxa"/>
            <w:shd w:val="clear" w:color="auto" w:fill="auto"/>
            <w:vAlign w:val="center"/>
          </w:tcPr>
          <w:p w14:paraId="67BE8D7B" w14:textId="0CA7B781" w:rsidR="00DF0FB6" w:rsidRPr="00FE125E" w:rsidRDefault="00DF0FB6" w:rsidP="00DF0FB6">
            <w:pPr>
              <w:shd w:val="clear" w:color="auto" w:fill="FFFFFF"/>
              <w:spacing w:before="120" w:after="120"/>
              <w:rPr>
                <w:rFonts w:cstheme="minorHAnsi"/>
                <w:sz w:val="20"/>
                <w:szCs w:val="20"/>
              </w:rPr>
            </w:pPr>
            <w:r w:rsidRPr="006815FA">
              <w:rPr>
                <w:rFonts w:ascii="Calibri" w:hAnsi="Calibri" w:cs="Calibri"/>
                <w:color w:val="000000"/>
                <w:sz w:val="20"/>
                <w:szCs w:val="20"/>
                <w:lang w:eastAsia="en-AU"/>
              </w:rPr>
              <w:t>FNSACC414 Prepare financial statements for non-reporting entities</w:t>
            </w:r>
          </w:p>
        </w:tc>
      </w:tr>
      <w:tr w:rsidR="00DF0FB6" w:rsidRPr="00FE125E" w14:paraId="48676038" w14:textId="77777777" w:rsidTr="009053A8">
        <w:trPr>
          <w:trHeight w:val="300"/>
        </w:trPr>
        <w:tc>
          <w:tcPr>
            <w:tcW w:w="9067" w:type="dxa"/>
            <w:shd w:val="clear" w:color="auto" w:fill="auto"/>
            <w:vAlign w:val="center"/>
          </w:tcPr>
          <w:p w14:paraId="72DAA135" w14:textId="02406C13" w:rsidR="00DF0FB6" w:rsidRPr="00FE125E" w:rsidRDefault="00DF0FB6" w:rsidP="00DF0FB6">
            <w:pPr>
              <w:shd w:val="clear" w:color="auto" w:fill="FFFFFF"/>
              <w:spacing w:before="120" w:after="120"/>
              <w:rPr>
                <w:rFonts w:cstheme="minorHAnsi"/>
                <w:sz w:val="20"/>
                <w:szCs w:val="20"/>
              </w:rPr>
            </w:pPr>
            <w:r w:rsidRPr="006815FA">
              <w:rPr>
                <w:rFonts w:ascii="Calibri" w:hAnsi="Calibri" w:cs="Calibri"/>
                <w:color w:val="000000"/>
                <w:sz w:val="20"/>
                <w:szCs w:val="20"/>
                <w:lang w:eastAsia="en-AU"/>
              </w:rPr>
              <w:t>FNSACC418 Work effectively in the accounting and bookkeeping industry</w:t>
            </w:r>
          </w:p>
        </w:tc>
      </w:tr>
      <w:tr w:rsidR="00DF0FB6" w:rsidRPr="00FE125E" w14:paraId="65A1F061" w14:textId="77777777" w:rsidTr="009053A8">
        <w:trPr>
          <w:trHeight w:val="300"/>
        </w:trPr>
        <w:tc>
          <w:tcPr>
            <w:tcW w:w="9067" w:type="dxa"/>
            <w:shd w:val="clear" w:color="auto" w:fill="auto"/>
            <w:vAlign w:val="center"/>
          </w:tcPr>
          <w:p w14:paraId="40E328D3" w14:textId="25E2CE09" w:rsidR="00DF0FB6" w:rsidRPr="00FE125E" w:rsidRDefault="00DF0FB6" w:rsidP="00DF0FB6">
            <w:pPr>
              <w:shd w:val="clear" w:color="auto" w:fill="FFFFFF"/>
              <w:spacing w:before="120" w:after="120"/>
              <w:rPr>
                <w:rFonts w:cstheme="minorHAnsi"/>
                <w:sz w:val="20"/>
                <w:szCs w:val="20"/>
              </w:rPr>
            </w:pPr>
            <w:r w:rsidRPr="006815FA">
              <w:rPr>
                <w:rFonts w:ascii="Calibri" w:hAnsi="Calibri" w:cs="Calibri"/>
                <w:color w:val="000000"/>
                <w:sz w:val="20"/>
                <w:szCs w:val="20"/>
                <w:lang w:eastAsia="en-AU"/>
              </w:rPr>
              <w:t>FNSACC421 Prepare financial reports</w:t>
            </w:r>
          </w:p>
        </w:tc>
      </w:tr>
      <w:tr w:rsidR="00DF0FB6" w:rsidRPr="00FE125E" w14:paraId="7343074F" w14:textId="77777777" w:rsidTr="009053A8">
        <w:trPr>
          <w:trHeight w:val="300"/>
        </w:trPr>
        <w:tc>
          <w:tcPr>
            <w:tcW w:w="9067" w:type="dxa"/>
            <w:shd w:val="clear" w:color="auto" w:fill="auto"/>
            <w:vAlign w:val="center"/>
          </w:tcPr>
          <w:p w14:paraId="108FAF41" w14:textId="6CF85439" w:rsidR="00DF0FB6" w:rsidRPr="009C70E4" w:rsidRDefault="00DF0FB6" w:rsidP="00DF0FB6">
            <w:pPr>
              <w:shd w:val="clear" w:color="auto" w:fill="FFFFFF"/>
              <w:spacing w:before="120" w:after="120"/>
              <w:rPr>
                <w:rFonts w:ascii="Calibri" w:hAnsi="Calibri" w:cs="Calibri"/>
                <w:color w:val="000000"/>
                <w:sz w:val="20"/>
                <w:szCs w:val="20"/>
                <w:lang w:eastAsia="en-AU"/>
              </w:rPr>
            </w:pPr>
            <w:r w:rsidRPr="006815FA">
              <w:rPr>
                <w:rFonts w:ascii="Calibri" w:hAnsi="Calibri" w:cs="Calibri"/>
                <w:color w:val="000000"/>
                <w:sz w:val="20"/>
                <w:szCs w:val="20"/>
                <w:lang w:eastAsia="en-AU"/>
              </w:rPr>
              <w:t>FNSACC426 Set up and operate computerised accounting systems</w:t>
            </w:r>
          </w:p>
        </w:tc>
      </w:tr>
      <w:tr w:rsidR="00DF0FB6" w:rsidRPr="002F3236" w14:paraId="5574874E" w14:textId="77777777" w:rsidTr="009053A8">
        <w:trPr>
          <w:trHeight w:val="300"/>
        </w:trPr>
        <w:tc>
          <w:tcPr>
            <w:tcW w:w="9067" w:type="dxa"/>
            <w:shd w:val="clear" w:color="auto" w:fill="auto"/>
            <w:vAlign w:val="center"/>
          </w:tcPr>
          <w:p w14:paraId="6D7C5277" w14:textId="3246B761" w:rsidR="00DF0FB6" w:rsidRPr="009C70E4" w:rsidRDefault="00DF0FB6" w:rsidP="00DF0FB6">
            <w:pPr>
              <w:shd w:val="clear" w:color="auto" w:fill="FFFFFF"/>
              <w:spacing w:before="120" w:after="120"/>
              <w:rPr>
                <w:rFonts w:ascii="Calibri" w:hAnsi="Calibri" w:cs="Calibri"/>
                <w:color w:val="000000"/>
                <w:sz w:val="20"/>
                <w:szCs w:val="20"/>
                <w:lang w:eastAsia="en-AU"/>
              </w:rPr>
            </w:pPr>
            <w:r w:rsidRPr="006815FA">
              <w:rPr>
                <w:rFonts w:ascii="Calibri" w:hAnsi="Calibri" w:cs="Calibri"/>
                <w:color w:val="000000"/>
                <w:sz w:val="20"/>
                <w:szCs w:val="20"/>
                <w:lang w:eastAsia="en-AU"/>
              </w:rPr>
              <w:t>FNSTPB411 Complete business activity and instalment activity statements</w:t>
            </w:r>
          </w:p>
        </w:tc>
      </w:tr>
      <w:tr w:rsidR="00DF0FB6" w:rsidRPr="002F3236" w14:paraId="725D5D1A" w14:textId="77777777" w:rsidTr="009053A8">
        <w:trPr>
          <w:trHeight w:val="300"/>
        </w:trPr>
        <w:tc>
          <w:tcPr>
            <w:tcW w:w="9067" w:type="dxa"/>
            <w:tcBorders>
              <w:bottom w:val="single" w:sz="4" w:space="0" w:color="auto"/>
            </w:tcBorders>
            <w:shd w:val="clear" w:color="auto" w:fill="auto"/>
            <w:vAlign w:val="center"/>
          </w:tcPr>
          <w:p w14:paraId="7277A0B6" w14:textId="3BB75E0D" w:rsidR="00DF0FB6" w:rsidRPr="009C70E4" w:rsidRDefault="00DF0FB6" w:rsidP="00DF0FB6">
            <w:pPr>
              <w:shd w:val="clear" w:color="auto" w:fill="FFFFFF"/>
              <w:spacing w:before="120" w:after="120"/>
              <w:rPr>
                <w:rFonts w:ascii="Calibri" w:hAnsi="Calibri" w:cs="Calibri"/>
                <w:color w:val="000000"/>
                <w:sz w:val="20"/>
                <w:szCs w:val="20"/>
                <w:lang w:eastAsia="en-AU"/>
              </w:rPr>
            </w:pPr>
            <w:r w:rsidRPr="006815FA">
              <w:rPr>
                <w:rFonts w:ascii="Calibri" w:hAnsi="Calibri" w:cs="Calibri"/>
                <w:color w:val="000000"/>
                <w:sz w:val="20"/>
                <w:szCs w:val="20"/>
                <w:lang w:eastAsia="en-AU"/>
              </w:rPr>
              <w:t>FNSTPB412 Establish and maintain payroll systems</w:t>
            </w:r>
          </w:p>
        </w:tc>
      </w:tr>
      <w:tr w:rsidR="00DF0FB6" w:rsidRPr="00BA00B7" w14:paraId="0B0D8CC9" w14:textId="77777777" w:rsidTr="009053A8">
        <w:trPr>
          <w:trHeight w:val="300"/>
        </w:trPr>
        <w:tc>
          <w:tcPr>
            <w:tcW w:w="9067" w:type="dxa"/>
            <w:tcBorders>
              <w:bottom w:val="single" w:sz="4" w:space="0" w:color="auto"/>
            </w:tcBorders>
            <w:shd w:val="clear" w:color="auto" w:fill="auto"/>
            <w:vAlign w:val="bottom"/>
          </w:tcPr>
          <w:p w14:paraId="02C9995F" w14:textId="0690F6D8" w:rsidR="00DF0FB6" w:rsidRPr="009C70E4" w:rsidRDefault="00DF0FB6" w:rsidP="00DF0FB6">
            <w:pPr>
              <w:autoSpaceDE w:val="0"/>
              <w:autoSpaceDN w:val="0"/>
              <w:adjustRightInd w:val="0"/>
              <w:rPr>
                <w:rFonts w:ascii="Calibri" w:hAnsi="Calibri" w:cs="Calibri"/>
                <w:color w:val="000000"/>
                <w:sz w:val="20"/>
                <w:szCs w:val="20"/>
                <w:lang w:eastAsia="en-AU"/>
              </w:rPr>
            </w:pPr>
            <w:r w:rsidRPr="009C70E4">
              <w:rPr>
                <w:rFonts w:ascii="Calibri" w:hAnsi="Calibri" w:cs="Calibri"/>
                <w:color w:val="000000"/>
                <w:sz w:val="20"/>
                <w:szCs w:val="20"/>
                <w:lang w:eastAsia="en-AU"/>
              </w:rPr>
              <w:t>FNSACC323 Perform financial calculations</w:t>
            </w:r>
          </w:p>
        </w:tc>
      </w:tr>
      <w:tr w:rsidR="00DF0FB6" w:rsidRPr="00BA00B7" w14:paraId="74FEDC23" w14:textId="77777777" w:rsidTr="009053A8">
        <w:trPr>
          <w:trHeight w:val="300"/>
        </w:trPr>
        <w:tc>
          <w:tcPr>
            <w:tcW w:w="9067" w:type="dxa"/>
            <w:tcBorders>
              <w:bottom w:val="single" w:sz="4" w:space="0" w:color="auto"/>
            </w:tcBorders>
            <w:shd w:val="clear" w:color="auto" w:fill="auto"/>
            <w:vAlign w:val="center"/>
          </w:tcPr>
          <w:p w14:paraId="21DEA223" w14:textId="60B0DDAA" w:rsidR="00DF0FB6" w:rsidRPr="009C70E4" w:rsidRDefault="00DF0FB6" w:rsidP="00DF0FB6">
            <w:pPr>
              <w:autoSpaceDE w:val="0"/>
              <w:autoSpaceDN w:val="0"/>
              <w:adjustRightInd w:val="0"/>
              <w:rPr>
                <w:rFonts w:ascii="Calibri" w:hAnsi="Calibri" w:cs="Calibri"/>
                <w:color w:val="000000"/>
                <w:sz w:val="20"/>
                <w:szCs w:val="20"/>
                <w:lang w:eastAsia="en-AU"/>
              </w:rPr>
            </w:pPr>
            <w:r w:rsidRPr="006815FA">
              <w:rPr>
                <w:rFonts w:ascii="Calibri" w:hAnsi="Calibri" w:cs="Calibri"/>
                <w:color w:val="000000"/>
                <w:sz w:val="20"/>
                <w:szCs w:val="20"/>
                <w:lang w:eastAsia="en-AU"/>
              </w:rPr>
              <w:t>BSBTEC301 Design and produce business documents</w:t>
            </w:r>
          </w:p>
        </w:tc>
      </w:tr>
      <w:tr w:rsidR="00DF0FB6" w:rsidRPr="00BA00B7" w14:paraId="4EFFB5D8" w14:textId="77777777" w:rsidTr="009053A8">
        <w:trPr>
          <w:trHeight w:val="300"/>
        </w:trPr>
        <w:tc>
          <w:tcPr>
            <w:tcW w:w="9067" w:type="dxa"/>
            <w:tcBorders>
              <w:bottom w:val="single" w:sz="4" w:space="0" w:color="auto"/>
            </w:tcBorders>
            <w:shd w:val="clear" w:color="auto" w:fill="auto"/>
            <w:vAlign w:val="center"/>
          </w:tcPr>
          <w:p w14:paraId="70502DF3" w14:textId="0C458148" w:rsidR="00DF0FB6" w:rsidRPr="009C70E4" w:rsidRDefault="00DF0FB6" w:rsidP="00DF0FB6">
            <w:pPr>
              <w:autoSpaceDE w:val="0"/>
              <w:autoSpaceDN w:val="0"/>
              <w:adjustRightInd w:val="0"/>
              <w:rPr>
                <w:rFonts w:ascii="Calibri" w:hAnsi="Calibri" w:cs="Calibri"/>
                <w:color w:val="000000"/>
                <w:sz w:val="20"/>
                <w:szCs w:val="20"/>
                <w:lang w:eastAsia="en-AU"/>
              </w:rPr>
            </w:pPr>
            <w:r w:rsidRPr="006815FA">
              <w:rPr>
                <w:rFonts w:ascii="Calibri" w:hAnsi="Calibri" w:cs="Calibri"/>
                <w:color w:val="000000"/>
                <w:sz w:val="20"/>
                <w:szCs w:val="20"/>
                <w:lang w:eastAsia="en-AU"/>
              </w:rPr>
              <w:t>BSBPEF501 Manage personal and professional development</w:t>
            </w:r>
          </w:p>
        </w:tc>
      </w:tr>
    </w:tbl>
    <w:p w14:paraId="62D945BB" w14:textId="4455121E" w:rsidR="00166575" w:rsidRDefault="00166575" w:rsidP="00F63D0A">
      <w:pPr>
        <w:rPr>
          <w:rFonts w:cs="Times New Roman"/>
          <w:b/>
        </w:rPr>
      </w:pPr>
    </w:p>
    <w:p w14:paraId="755AB016" w14:textId="77777777" w:rsidR="00F63D0A" w:rsidRPr="009E1F4B" w:rsidRDefault="00F63D0A" w:rsidP="00F63D0A">
      <w:pPr>
        <w:spacing w:before="240" w:after="0"/>
        <w:rPr>
          <w:b/>
        </w:rPr>
      </w:pPr>
      <w:r w:rsidRPr="009E1F4B">
        <w:rPr>
          <w:b/>
        </w:rPr>
        <w:t>Assessment methods:</w:t>
      </w:r>
    </w:p>
    <w:p w14:paraId="332224BE" w14:textId="352FB69A" w:rsidR="001002E2" w:rsidRDefault="00F63D0A" w:rsidP="001002E2">
      <w:pPr>
        <w:rPr>
          <w:rFonts w:cs="Arial"/>
        </w:rPr>
      </w:pPr>
      <w:r w:rsidRPr="009E1F4B">
        <w:t xml:space="preserve">A variety of assessment methods will be used throughout the course, </w:t>
      </w:r>
      <w:r w:rsidR="002E6672" w:rsidRPr="009E1F4B">
        <w:t>including</w:t>
      </w:r>
      <w:r w:rsidRPr="009E1F4B">
        <w:t xml:space="preserve"> </w:t>
      </w:r>
      <w:r w:rsidR="001002E2" w:rsidRPr="009E1F4B">
        <w:rPr>
          <w:rFonts w:cs="Arial"/>
          <w:lang w:eastAsia="en-US"/>
        </w:rPr>
        <w:t xml:space="preserve">Written Questions, </w:t>
      </w:r>
      <w:r w:rsidR="001002E2" w:rsidRPr="009E1F4B">
        <w:rPr>
          <w:rFonts w:cs="Arial"/>
        </w:rPr>
        <w:t>Practical Activities, Role Plays, Case Studies, Project, Assignment, Integrated Practical Activities or Verbal Questioning.</w:t>
      </w:r>
      <w:r w:rsidR="009C70E4">
        <w:rPr>
          <w:rFonts w:cs="Arial"/>
        </w:rPr>
        <w:t xml:space="preserve"> </w:t>
      </w:r>
    </w:p>
    <w:p w14:paraId="581A29A9" w14:textId="77777777" w:rsidR="00AB7299" w:rsidRPr="00E74E6D" w:rsidRDefault="00AB7299" w:rsidP="00AB7299">
      <w:pPr>
        <w:rPr>
          <w:i/>
          <w:iCs/>
        </w:rPr>
      </w:pPr>
      <w:r w:rsidRPr="00E74E6D">
        <w:rPr>
          <w:i/>
          <w:iCs/>
        </w:rPr>
        <w:lastRenderedPageBreak/>
        <w:t>Candidates intending to apply for a BAS agent registration with the Tax Practitioners Board must undertake assessments for the units FNSTPB411 and FNSTPB412 separately, under supervision. Please make an inquiry with us prior to enrolment.</w:t>
      </w:r>
    </w:p>
    <w:p w14:paraId="3FE86477" w14:textId="77777777" w:rsidR="00F63D0A" w:rsidRPr="009E1F4B" w:rsidRDefault="00F63D0A" w:rsidP="001002E2">
      <w:pPr>
        <w:spacing w:after="0"/>
      </w:pPr>
      <w:r w:rsidRPr="009E1F4B">
        <w:rPr>
          <w:b/>
        </w:rPr>
        <w:t xml:space="preserve">Tuition and </w:t>
      </w:r>
      <w:proofErr w:type="gramStart"/>
      <w:r w:rsidRPr="009E1F4B">
        <w:rPr>
          <w:b/>
        </w:rPr>
        <w:t>Non-Tuition</w:t>
      </w:r>
      <w:proofErr w:type="gramEnd"/>
      <w:r w:rsidRPr="009E1F4B">
        <w:rPr>
          <w:b/>
        </w:rPr>
        <w:t xml:space="preserve"> fees:  </w:t>
      </w:r>
      <w:r w:rsidRPr="009E1F4B">
        <w:t>Please refer to the Fee Schedule</w:t>
      </w:r>
      <w:r w:rsidR="00EE576F">
        <w:t xml:space="preserve"> – domestic students</w:t>
      </w:r>
      <w:r w:rsidRPr="009E1F4B">
        <w:t>.</w:t>
      </w:r>
    </w:p>
    <w:p w14:paraId="51630218" w14:textId="77777777" w:rsidR="00C340FF" w:rsidRPr="0083767F" w:rsidRDefault="00C340FF" w:rsidP="00C340FF">
      <w:pPr>
        <w:spacing w:before="240"/>
        <w:rPr>
          <w:b/>
        </w:rPr>
      </w:pPr>
      <w:r w:rsidRPr="0083767F">
        <w:rPr>
          <w:b/>
        </w:rPr>
        <w:t>Compliant statement:</w:t>
      </w:r>
    </w:p>
    <w:p w14:paraId="5E543CE4" w14:textId="77777777" w:rsidR="00C340FF" w:rsidRPr="0083767F" w:rsidRDefault="00C340FF" w:rsidP="00C340FF">
      <w:pPr>
        <w:rPr>
          <w:szCs w:val="28"/>
        </w:rPr>
      </w:pPr>
      <w:r w:rsidRPr="0083767F">
        <w:rPr>
          <w:szCs w:val="28"/>
        </w:rPr>
        <w:t>GBCA is responsible for providing compliant training and assessment, and issuing of the AQF certification documentation for qualifications detailed in its scope of registration on the National Training Register (training.gov.au).</w:t>
      </w:r>
    </w:p>
    <w:p w14:paraId="60B0DF6D" w14:textId="77777777" w:rsidR="00C340FF" w:rsidRDefault="00C340FF" w:rsidP="00C340FF">
      <w:pPr>
        <w:spacing w:after="0"/>
        <w:rPr>
          <w:b/>
        </w:rPr>
      </w:pPr>
      <w:bookmarkStart w:id="1" w:name="_Hlk491781978"/>
      <w:bookmarkStart w:id="2" w:name="_Hlk61615882"/>
      <w:r>
        <w:rPr>
          <w:b/>
        </w:rPr>
        <w:t>Government funding:</w:t>
      </w:r>
    </w:p>
    <w:bookmarkEnd w:id="1"/>
    <w:p w14:paraId="0BF483B0" w14:textId="7EE63BA3" w:rsidR="007E31ED" w:rsidRDefault="00AB7299" w:rsidP="00DE7BFA">
      <w:pPr>
        <w:spacing w:after="0"/>
      </w:pPr>
      <w:r>
        <w:t xml:space="preserve">Very limited </w:t>
      </w:r>
      <w:r w:rsidR="007E31ED">
        <w:t>funding</w:t>
      </w:r>
      <w:r w:rsidR="002E6672">
        <w:t>*</w:t>
      </w:r>
      <w:r w:rsidR="007E31ED">
        <w:t xml:space="preserve"> places are available for eligible candidates.</w:t>
      </w:r>
    </w:p>
    <w:p w14:paraId="19AF12DF" w14:textId="690667BD" w:rsidR="00DE7BFA" w:rsidRDefault="002E6672" w:rsidP="00DE7BFA">
      <w:pPr>
        <w:spacing w:after="0"/>
        <w:rPr>
          <w:lang w:eastAsia="en-US"/>
        </w:rPr>
      </w:pPr>
      <w:r>
        <w:t xml:space="preserve">* Funding available for this </w:t>
      </w:r>
      <w:r w:rsidR="00EE576F" w:rsidRPr="00942C63">
        <w:t xml:space="preserve">course </w:t>
      </w:r>
      <w:r w:rsidR="00EE576F">
        <w:t xml:space="preserve">is delivered with Victorian and Commonwealth Government funding under the Skills First Program. </w:t>
      </w:r>
      <w:r w:rsidR="00DE7BFA">
        <w:rPr>
          <w:lang w:eastAsia="en-US"/>
        </w:rPr>
        <w:t>Individuals with disabilities are encouraged to apply for training subsidised through the Skills First Program.</w:t>
      </w:r>
    </w:p>
    <w:p w14:paraId="2D7B1E99" w14:textId="77777777" w:rsidR="006D3F94" w:rsidRDefault="006D3F94" w:rsidP="00EE576F">
      <w:pPr>
        <w:spacing w:after="0"/>
      </w:pPr>
    </w:p>
    <w:p w14:paraId="67519F08" w14:textId="77777777" w:rsidR="00F63D0A" w:rsidRPr="009E1F4B" w:rsidRDefault="00F63D0A" w:rsidP="00F63D0A">
      <w:pPr>
        <w:spacing w:after="0"/>
        <w:rPr>
          <w:b/>
          <w:sz w:val="4"/>
        </w:rPr>
      </w:pPr>
    </w:p>
    <w:p w14:paraId="414EF2BD" w14:textId="77777777" w:rsidR="00F63D0A" w:rsidRPr="009E1F4B" w:rsidRDefault="00F63D0A" w:rsidP="00F63D0A">
      <w:pPr>
        <w:spacing w:after="0"/>
        <w:rPr>
          <w:b/>
        </w:rPr>
      </w:pPr>
      <w:r w:rsidRPr="009E1F4B">
        <w:rPr>
          <w:b/>
        </w:rPr>
        <w:t>Course enquiries:</w:t>
      </w:r>
    </w:p>
    <w:p w14:paraId="7D9D2EC3" w14:textId="77777777" w:rsidR="00DE7BFA" w:rsidRDefault="00DE7BFA" w:rsidP="002162FB">
      <w:pPr>
        <w:spacing w:after="0"/>
      </w:pPr>
    </w:p>
    <w:p w14:paraId="7E0AA3F3" w14:textId="3CE6CEED" w:rsidR="002162FB" w:rsidRDefault="002162FB" w:rsidP="002162FB">
      <w:pPr>
        <w:spacing w:after="0"/>
      </w:pPr>
      <w:r>
        <w:t>Tel: 9041 3050</w:t>
      </w:r>
    </w:p>
    <w:p w14:paraId="79409A22" w14:textId="04D4C4AB" w:rsidR="002162FB" w:rsidRDefault="002162FB" w:rsidP="002162FB">
      <w:pPr>
        <w:spacing w:after="0"/>
      </w:pPr>
      <w:r>
        <w:t xml:space="preserve">Email: </w:t>
      </w:r>
      <w:hyperlink r:id="rId11" w:history="1">
        <w:r w:rsidR="00DE7BFA" w:rsidRPr="00292A09">
          <w:rPr>
            <w:rStyle w:val="Hyperlink"/>
          </w:rPr>
          <w:t>enquiry@gbca.edu.au</w:t>
        </w:r>
      </w:hyperlink>
    </w:p>
    <w:p w14:paraId="3E660A1B" w14:textId="77777777" w:rsidR="002162FB" w:rsidRDefault="002162FB" w:rsidP="00EE576F">
      <w:pPr>
        <w:spacing w:after="0"/>
        <w:rPr>
          <w:lang w:eastAsia="en-US"/>
        </w:rPr>
      </w:pPr>
    </w:p>
    <w:p w14:paraId="7BF0E90B" w14:textId="77777777" w:rsidR="009E1F4B" w:rsidRDefault="00F63D0A" w:rsidP="00C51DBC">
      <w:pPr>
        <w:spacing w:before="240"/>
        <w:rPr>
          <w:rFonts w:cs="Arial"/>
          <w:szCs w:val="20"/>
        </w:rPr>
      </w:pPr>
      <w:r w:rsidRPr="009E1F4B">
        <w:rPr>
          <w:b/>
          <w:sz w:val="20"/>
          <w:szCs w:val="20"/>
        </w:rPr>
        <w:t>This factsheet should be read in conjunction with our Student Handbook and website www.gbca.edu.au.</w:t>
      </w:r>
      <w:r w:rsidRPr="00A7275E">
        <w:rPr>
          <w:b/>
          <w:sz w:val="20"/>
          <w:szCs w:val="20"/>
        </w:rPr>
        <w:t xml:space="preserve"> </w:t>
      </w:r>
      <w:r w:rsidR="00C51DBC">
        <w:rPr>
          <w:rFonts w:cs="Arial"/>
          <w:noProof/>
          <w:szCs w:val="20"/>
          <w:lang w:eastAsia="en-AU"/>
        </w:rPr>
        <w:drawing>
          <wp:inline distT="0" distB="0" distL="0" distR="0" wp14:anchorId="6429529D" wp14:editId="62530C66">
            <wp:extent cx="1075944" cy="774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t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5944" cy="774192"/>
                    </a:xfrm>
                    <a:prstGeom prst="rect">
                      <a:avLst/>
                    </a:prstGeom>
                  </pic:spPr>
                </pic:pic>
              </a:graphicData>
            </a:graphic>
          </wp:inline>
        </w:drawing>
      </w:r>
      <w:bookmarkEnd w:id="2"/>
    </w:p>
    <w:sectPr w:rsidR="009E1F4B" w:rsidSect="000976C0">
      <w:headerReference w:type="default" r:id="rId13"/>
      <w:footerReference w:type="default" r:id="rId14"/>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FD840" w14:textId="77777777" w:rsidR="001D0B22" w:rsidRDefault="001D0B22" w:rsidP="00316A14">
      <w:pPr>
        <w:spacing w:after="0" w:line="240" w:lineRule="auto"/>
      </w:pPr>
      <w:r>
        <w:separator/>
      </w:r>
    </w:p>
  </w:endnote>
  <w:endnote w:type="continuationSeparator" w:id="0">
    <w:p w14:paraId="710E6787" w14:textId="77777777" w:rsidR="001D0B22" w:rsidRDefault="001D0B22" w:rsidP="0031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552884"/>
      <w:docPartObj>
        <w:docPartGallery w:val="Page Numbers (Bottom of Page)"/>
        <w:docPartUnique/>
      </w:docPartObj>
    </w:sdtPr>
    <w:sdtEndPr>
      <w:rPr>
        <w:noProof/>
      </w:rPr>
    </w:sdtEndPr>
    <w:sdtContent>
      <w:p w14:paraId="3021EC6B" w14:textId="77777777" w:rsidR="00F6411F" w:rsidRDefault="00F6411F" w:rsidP="000976C0">
        <w:pPr>
          <w:tabs>
            <w:tab w:val="center" w:pos="4153"/>
            <w:tab w:val="right" w:pos="8306"/>
          </w:tabs>
          <w:spacing w:after="0"/>
        </w:pPr>
      </w:p>
      <w:tbl>
        <w:tblPr>
          <w:tblW w:w="0" w:type="auto"/>
          <w:jc w:val="center"/>
          <w:tblLook w:val="0000" w:firstRow="0" w:lastRow="0" w:firstColumn="0" w:lastColumn="0" w:noHBand="0" w:noVBand="0"/>
        </w:tblPr>
        <w:tblGrid>
          <w:gridCol w:w="3119"/>
          <w:gridCol w:w="2872"/>
          <w:gridCol w:w="3035"/>
        </w:tblGrid>
        <w:tr w:rsidR="00F6411F" w:rsidRPr="00634895" w14:paraId="3A29954D" w14:textId="77777777" w:rsidTr="009037A9">
          <w:trPr>
            <w:jc w:val="center"/>
          </w:trPr>
          <w:tc>
            <w:tcPr>
              <w:tcW w:w="3119" w:type="dxa"/>
              <w:tcBorders>
                <w:top w:val="thinThickSmallGap" w:sz="24" w:space="0" w:color="auto"/>
              </w:tcBorders>
            </w:tcPr>
            <w:p w14:paraId="20778D07" w14:textId="3724EEFB" w:rsidR="00F6411F" w:rsidRPr="00634895" w:rsidRDefault="000B5CE1" w:rsidP="000976C0">
              <w:pPr>
                <w:pStyle w:val="Footer"/>
                <w:spacing w:before="60"/>
                <w:jc w:val="both"/>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1824D1">
                <w:rPr>
                  <w:rFonts w:ascii="Arial" w:hAnsi="Arial" w:cs="Arial"/>
                  <w:noProof/>
                  <w:sz w:val="16"/>
                  <w:szCs w:val="16"/>
                </w:rPr>
                <w:t>Course Fact Sheet Certificate IV in Accounting and Bookkeeping Gov funding - FNS40222</w:t>
              </w:r>
              <w:r>
                <w:rPr>
                  <w:rFonts w:ascii="Arial" w:hAnsi="Arial" w:cs="Arial"/>
                  <w:sz w:val="16"/>
                  <w:szCs w:val="16"/>
                </w:rPr>
                <w:fldChar w:fldCharType="end"/>
              </w:r>
            </w:p>
          </w:tc>
          <w:tc>
            <w:tcPr>
              <w:tcW w:w="2872" w:type="dxa"/>
              <w:tcBorders>
                <w:top w:val="thinThickSmallGap" w:sz="24" w:space="0" w:color="auto"/>
              </w:tcBorders>
            </w:tcPr>
            <w:p w14:paraId="256A1C50" w14:textId="77777777" w:rsidR="00F6411F" w:rsidRPr="00634895" w:rsidRDefault="00F6411F" w:rsidP="00004277">
              <w:pPr>
                <w:pStyle w:val="Footer"/>
                <w:spacing w:before="60"/>
                <w:jc w:val="center"/>
                <w:rPr>
                  <w:rStyle w:val="PageNumber"/>
                  <w:rFonts w:ascii="Arial" w:hAnsi="Arial" w:cs="Arial"/>
                  <w:sz w:val="16"/>
                  <w:szCs w:val="16"/>
                </w:rPr>
              </w:pPr>
              <w:r w:rsidRPr="00634895">
                <w:rPr>
                  <w:rFonts w:ascii="Arial" w:hAnsi="Arial" w:cs="Arial"/>
                  <w:sz w:val="16"/>
                  <w:szCs w:val="16"/>
                </w:rPr>
                <w:t xml:space="preserve">Page </w:t>
              </w:r>
              <w:r w:rsidRPr="00634895">
                <w:rPr>
                  <w:rFonts w:ascii="Arial" w:hAnsi="Arial" w:cs="Arial"/>
                  <w:sz w:val="16"/>
                  <w:szCs w:val="16"/>
                </w:rPr>
                <w:fldChar w:fldCharType="begin"/>
              </w:r>
              <w:r w:rsidRPr="00634895">
                <w:rPr>
                  <w:rFonts w:ascii="Arial" w:hAnsi="Arial" w:cs="Arial"/>
                  <w:sz w:val="16"/>
                  <w:szCs w:val="16"/>
                </w:rPr>
                <w:instrText xml:space="preserve"> PAGE </w:instrText>
              </w:r>
              <w:r w:rsidRPr="00634895">
                <w:rPr>
                  <w:rFonts w:ascii="Arial" w:hAnsi="Arial" w:cs="Arial"/>
                  <w:sz w:val="16"/>
                  <w:szCs w:val="16"/>
                </w:rPr>
                <w:fldChar w:fldCharType="separate"/>
              </w:r>
              <w:r w:rsidR="00994EE7">
                <w:rPr>
                  <w:rFonts w:ascii="Arial" w:hAnsi="Arial" w:cs="Arial"/>
                  <w:noProof/>
                  <w:sz w:val="16"/>
                  <w:szCs w:val="16"/>
                </w:rPr>
                <w:t>3</w:t>
              </w:r>
              <w:r w:rsidRPr="00634895">
                <w:rPr>
                  <w:rFonts w:ascii="Arial" w:hAnsi="Arial" w:cs="Arial"/>
                  <w:sz w:val="16"/>
                  <w:szCs w:val="16"/>
                </w:rPr>
                <w:fldChar w:fldCharType="end"/>
              </w:r>
              <w:r w:rsidR="00004277">
                <w:rPr>
                  <w:rFonts w:ascii="Arial" w:hAnsi="Arial" w:cs="Arial"/>
                  <w:sz w:val="16"/>
                  <w:szCs w:val="16"/>
                </w:rPr>
                <w:t xml:space="preserve"> </w:t>
              </w:r>
              <w:r w:rsidR="00004277">
                <w:rPr>
                  <w:rFonts w:ascii="Arial" w:hAnsi="Arial" w:cs="Arial" w:hint="eastAsia"/>
                  <w:sz w:val="16"/>
                  <w:szCs w:val="16"/>
                </w:rPr>
                <w:t>o</w:t>
              </w:r>
              <w:r w:rsidR="00004277">
                <w:rPr>
                  <w:rFonts w:ascii="Arial" w:hAnsi="Arial" w:cs="Arial"/>
                  <w:sz w:val="16"/>
                  <w:szCs w:val="16"/>
                </w:rPr>
                <w:t>f 4</w:t>
              </w:r>
            </w:p>
          </w:tc>
          <w:tc>
            <w:tcPr>
              <w:tcW w:w="3035" w:type="dxa"/>
              <w:tcBorders>
                <w:top w:val="thinThickSmallGap" w:sz="24" w:space="0" w:color="auto"/>
              </w:tcBorders>
            </w:tcPr>
            <w:p w14:paraId="72CCE993" w14:textId="465AF250" w:rsidR="00F6411F" w:rsidRPr="00634895" w:rsidRDefault="000102B3" w:rsidP="00004277">
              <w:pPr>
                <w:pStyle w:val="Footer"/>
                <w:spacing w:before="60"/>
                <w:jc w:val="both"/>
                <w:rPr>
                  <w:rFonts w:ascii="Arial" w:hAnsi="Arial" w:cs="Arial"/>
                  <w:sz w:val="16"/>
                  <w:szCs w:val="16"/>
                </w:rPr>
              </w:pPr>
              <w:r>
                <w:rPr>
                  <w:rFonts w:ascii="Arial" w:hAnsi="Arial" w:cs="Arial"/>
                  <w:sz w:val="16"/>
                  <w:szCs w:val="16"/>
                </w:rPr>
                <w:t xml:space="preserve">  </w:t>
              </w:r>
              <w:r w:rsidR="00004277">
                <w:rPr>
                  <w:rFonts w:ascii="Arial" w:hAnsi="Arial" w:cs="Arial"/>
                  <w:sz w:val="16"/>
                  <w:szCs w:val="16"/>
                </w:rPr>
                <w:t>Version Date:</w:t>
              </w:r>
              <w:r w:rsidR="002E6672">
                <w:rPr>
                  <w:rFonts w:ascii="Arial" w:hAnsi="Arial" w:cs="Arial"/>
                  <w:sz w:val="16"/>
                  <w:szCs w:val="16"/>
                </w:rPr>
                <w:t>4</w:t>
              </w:r>
              <w:r w:rsidR="00DE7BFA">
                <w:rPr>
                  <w:rFonts w:ascii="Arial" w:hAnsi="Arial" w:cs="Arial"/>
                  <w:sz w:val="16"/>
                  <w:szCs w:val="16"/>
                </w:rPr>
                <w:t>/</w:t>
              </w:r>
              <w:r w:rsidR="002E6672">
                <w:rPr>
                  <w:rFonts w:ascii="Arial" w:hAnsi="Arial" w:cs="Arial"/>
                  <w:sz w:val="16"/>
                  <w:szCs w:val="16"/>
                </w:rPr>
                <w:t>10</w:t>
              </w:r>
              <w:r w:rsidR="00DE7BFA">
                <w:rPr>
                  <w:rFonts w:ascii="Arial" w:hAnsi="Arial" w:cs="Arial"/>
                  <w:sz w:val="16"/>
                  <w:szCs w:val="16"/>
                </w:rPr>
                <w:t>/202</w:t>
              </w:r>
              <w:r w:rsidR="002E6672">
                <w:rPr>
                  <w:rFonts w:ascii="Arial" w:hAnsi="Arial" w:cs="Arial"/>
                  <w:sz w:val="16"/>
                  <w:szCs w:val="16"/>
                </w:rPr>
                <w:t>4</w:t>
              </w:r>
            </w:p>
          </w:tc>
        </w:tr>
      </w:tbl>
      <w:p w14:paraId="68519033" w14:textId="77777777" w:rsidR="00F6411F" w:rsidRPr="00634895" w:rsidRDefault="00F6411F" w:rsidP="000976C0">
        <w:pPr>
          <w:tabs>
            <w:tab w:val="center" w:pos="4153"/>
            <w:tab w:val="right" w:pos="8306"/>
          </w:tabs>
          <w:autoSpaceDN w:val="0"/>
          <w:spacing w:before="40" w:after="40"/>
          <w:rPr>
            <w:rFonts w:ascii="Arial" w:eastAsia="SimSun" w:hAnsi="Arial" w:cs="Arial"/>
            <w:sz w:val="16"/>
            <w:szCs w:val="16"/>
            <w:lang w:eastAsia="en-AU"/>
          </w:rPr>
        </w:pPr>
        <w:r w:rsidRPr="00634895">
          <w:rPr>
            <w:rFonts w:ascii="Arial" w:hAnsi="Arial" w:cs="Arial"/>
            <w:sz w:val="16"/>
            <w:szCs w:val="16"/>
          </w:rPr>
          <w:t xml:space="preserve">  </w:t>
        </w:r>
        <w:r w:rsidRPr="00634895">
          <w:rPr>
            <w:rFonts w:ascii="Arial" w:eastAsia="SimSun" w:hAnsi="Arial" w:cs="Arial"/>
            <w:sz w:val="16"/>
            <w:szCs w:val="16"/>
            <w:lang w:eastAsia="en-AU"/>
          </w:rPr>
          <w:t>Global Business College of Australia Pty Ltd trading as Global Business College of Australia</w:t>
        </w:r>
      </w:p>
      <w:p w14:paraId="1C15DD94" w14:textId="77777777" w:rsidR="00F6411F" w:rsidRPr="00634895" w:rsidRDefault="00F6411F" w:rsidP="000976C0">
        <w:pPr>
          <w:pStyle w:val="Footer"/>
          <w:spacing w:before="40" w:after="40"/>
          <w:rPr>
            <w:rFonts w:ascii="Arial" w:hAnsi="Arial" w:cs="Arial"/>
            <w:sz w:val="16"/>
            <w:szCs w:val="16"/>
          </w:rPr>
        </w:pPr>
        <w:r w:rsidRPr="00634895">
          <w:rPr>
            <w:rFonts w:ascii="Arial" w:eastAsia="SimSun" w:hAnsi="Arial" w:cs="Arial"/>
            <w:b/>
            <w:sz w:val="16"/>
            <w:szCs w:val="16"/>
            <w:lang w:eastAsia="en-AU"/>
          </w:rPr>
          <w:t xml:space="preserve">  ABN</w:t>
        </w:r>
        <w:r w:rsidRPr="00634895">
          <w:rPr>
            <w:rFonts w:ascii="Arial" w:eastAsia="SimSun" w:hAnsi="Arial" w:cs="Arial"/>
            <w:sz w:val="16"/>
            <w:szCs w:val="16"/>
            <w:lang w:eastAsia="en-AU"/>
          </w:rPr>
          <w:t xml:space="preserve"> 96 600 373 859 </w:t>
        </w:r>
        <w:r w:rsidRPr="00634895">
          <w:rPr>
            <w:rFonts w:ascii="Arial" w:eastAsia="SimSun" w:hAnsi="Arial" w:cs="Arial"/>
            <w:b/>
            <w:sz w:val="16"/>
            <w:szCs w:val="16"/>
            <w:lang w:eastAsia="en-AU"/>
          </w:rPr>
          <w:t>RTO no</w:t>
        </w:r>
        <w:r w:rsidRPr="00634895">
          <w:rPr>
            <w:rFonts w:ascii="Arial" w:eastAsia="SimSun" w:hAnsi="Arial" w:cs="Arial"/>
            <w:sz w:val="16"/>
            <w:szCs w:val="16"/>
            <w:lang w:eastAsia="en-AU"/>
          </w:rPr>
          <w:t xml:space="preserve">. 41292 </w:t>
        </w:r>
        <w:r w:rsidRPr="00634895">
          <w:rPr>
            <w:rFonts w:ascii="Arial" w:eastAsia="SimSun" w:hAnsi="Arial" w:cs="Arial"/>
            <w:b/>
            <w:sz w:val="16"/>
            <w:szCs w:val="16"/>
            <w:lang w:eastAsia="en-AU"/>
          </w:rPr>
          <w:t>CRICOS Provider no.</w:t>
        </w:r>
        <w:r w:rsidRPr="00634895">
          <w:rPr>
            <w:rFonts w:ascii="Arial" w:eastAsia="SimSun" w:hAnsi="Arial" w:cs="Arial"/>
            <w:sz w:val="16"/>
            <w:szCs w:val="16"/>
            <w:lang w:eastAsia="en-AU"/>
          </w:rPr>
          <w:t xml:space="preserve"> </w:t>
        </w:r>
        <w:r>
          <w:rPr>
            <w:rFonts w:ascii="Arial" w:eastAsia="SimSun" w:hAnsi="Arial" w:cs="Arial"/>
            <w:sz w:val="16"/>
            <w:szCs w:val="16"/>
            <w:lang w:eastAsia="en-AU"/>
          </w:rPr>
          <w:t>03443</w:t>
        </w:r>
        <w:r w:rsidRPr="00634895">
          <w:rPr>
            <w:rFonts w:ascii="Arial" w:eastAsia="SimSun" w:hAnsi="Arial" w:cs="Arial"/>
            <w:sz w:val="16"/>
            <w:szCs w:val="16"/>
            <w:lang w:eastAsia="en-AU"/>
          </w:rPr>
          <w:t>D</w:t>
        </w:r>
      </w:p>
      <w:p w14:paraId="0DE24392" w14:textId="77777777" w:rsidR="00F6411F" w:rsidRDefault="00000000" w:rsidP="000976C0">
        <w:pPr>
          <w:tabs>
            <w:tab w:val="center" w:pos="4153"/>
            <w:tab w:val="right" w:pos="8306"/>
          </w:tabs>
          <w:spacing w:after="0"/>
        </w:pPr>
      </w:p>
    </w:sdtContent>
  </w:sdt>
  <w:p w14:paraId="3C46F27C" w14:textId="77777777" w:rsidR="00F6411F" w:rsidRPr="00A87C3A" w:rsidRDefault="00F6411F" w:rsidP="00A87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2D165" w14:textId="77777777" w:rsidR="001D0B22" w:rsidRDefault="001D0B22" w:rsidP="00316A14">
      <w:pPr>
        <w:spacing w:after="0" w:line="240" w:lineRule="auto"/>
      </w:pPr>
      <w:r>
        <w:separator/>
      </w:r>
    </w:p>
  </w:footnote>
  <w:footnote w:type="continuationSeparator" w:id="0">
    <w:p w14:paraId="6481E595" w14:textId="77777777" w:rsidR="001D0B22" w:rsidRDefault="001D0B22" w:rsidP="00316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2F25" w14:textId="77777777" w:rsidR="00F6411F" w:rsidRDefault="00F6411F">
    <w:pPr>
      <w:pStyle w:val="Header"/>
    </w:pPr>
    <w:r>
      <w:rPr>
        <w:rFonts w:ascii="Arial" w:hAnsi="Arial" w:cs="Arial"/>
        <w:noProof/>
        <w:sz w:val="18"/>
        <w:szCs w:val="18"/>
        <w:lang w:eastAsia="en-AU"/>
      </w:rPr>
      <w:drawing>
        <wp:anchor distT="0" distB="0" distL="114300" distR="114300" simplePos="0" relativeHeight="251658240" behindDoc="0" locked="0" layoutInCell="1" allowOverlap="1" wp14:anchorId="6C141808" wp14:editId="59EAEEC7">
          <wp:simplePos x="0" y="0"/>
          <wp:positionH relativeFrom="margin">
            <wp:align>left</wp:align>
          </wp:positionH>
          <wp:positionV relativeFrom="paragraph">
            <wp:posOffset>-326198</wp:posOffset>
          </wp:positionV>
          <wp:extent cx="1857375" cy="78613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86130"/>
                  </a:xfrm>
                  <a:prstGeom prst="rect">
                    <a:avLst/>
                  </a:prstGeom>
                  <a:noFill/>
                </pic:spPr>
              </pic:pic>
            </a:graphicData>
          </a:graphic>
          <wp14:sizeRelH relativeFrom="margin">
            <wp14:pctWidth>0</wp14:pctWidth>
          </wp14:sizeRelH>
          <wp14:sizeRelV relativeFrom="margin">
            <wp14:pctHeight>0</wp14:pctHeight>
          </wp14:sizeRelV>
        </wp:anchor>
      </w:drawing>
    </w:r>
  </w:p>
  <w:p w14:paraId="5B7D6F5D" w14:textId="77777777" w:rsidR="00F6411F" w:rsidRDefault="00F64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900BD"/>
    <w:multiLevelType w:val="hybridMultilevel"/>
    <w:tmpl w:val="15ACAE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3D2C7421"/>
    <w:multiLevelType w:val="hybridMultilevel"/>
    <w:tmpl w:val="B414D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C80893"/>
    <w:multiLevelType w:val="hybridMultilevel"/>
    <w:tmpl w:val="4B9E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6B3B28"/>
    <w:multiLevelType w:val="hybridMultilevel"/>
    <w:tmpl w:val="3F749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E65C51"/>
    <w:multiLevelType w:val="hybridMultilevel"/>
    <w:tmpl w:val="D8BA0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EC7600"/>
    <w:multiLevelType w:val="hybridMultilevel"/>
    <w:tmpl w:val="604E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215CEF"/>
    <w:multiLevelType w:val="hybridMultilevel"/>
    <w:tmpl w:val="0442A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3C3A03"/>
    <w:multiLevelType w:val="hybridMultilevel"/>
    <w:tmpl w:val="069CF66E"/>
    <w:lvl w:ilvl="0" w:tplc="0C09000F">
      <w:start w:val="1"/>
      <w:numFmt w:val="decimal"/>
      <w:lvlText w:val="%1."/>
      <w:lvlJc w:val="left"/>
      <w:pPr>
        <w:ind w:left="720" w:hanging="360"/>
      </w:pPr>
      <w:rPr>
        <w:rFonts w:hint="default"/>
      </w:rPr>
    </w:lvl>
    <w:lvl w:ilvl="1" w:tplc="BD52A450">
      <w:numFmt w:val="bullet"/>
      <w:lvlText w:val="•"/>
      <w:lvlJc w:val="left"/>
      <w:pPr>
        <w:ind w:left="1800" w:hanging="72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E16B55"/>
    <w:multiLevelType w:val="hybridMultilevel"/>
    <w:tmpl w:val="F306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25C13"/>
    <w:multiLevelType w:val="hybridMultilevel"/>
    <w:tmpl w:val="81EA7990"/>
    <w:lvl w:ilvl="0" w:tplc="0C090001">
      <w:start w:val="1"/>
      <w:numFmt w:val="bullet"/>
      <w:pStyle w:val="QABullets"/>
      <w:lvlText w:val=""/>
      <w:lvlJc w:val="left"/>
      <w:pPr>
        <w:tabs>
          <w:tab w:val="num" w:pos="-126"/>
        </w:tabs>
        <w:ind w:left="1494"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DB24766A">
      <w:start w:val="1"/>
      <w:numFmt w:val="bullet"/>
      <w:lvlText w:val="-"/>
      <w:lvlJc w:val="left"/>
      <w:pPr>
        <w:tabs>
          <w:tab w:val="num" w:pos="2160"/>
        </w:tabs>
        <w:ind w:left="2160" w:hanging="360"/>
      </w:pPr>
      <w:rPr>
        <w:rFonts w:ascii="Courier New" w:hAnsi="Courier New"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57006"/>
    <w:multiLevelType w:val="hybridMultilevel"/>
    <w:tmpl w:val="DB10B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ED4EC5"/>
    <w:multiLevelType w:val="multilevel"/>
    <w:tmpl w:val="5E00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0354244">
    <w:abstractNumId w:val="1"/>
  </w:num>
  <w:num w:numId="2" w16cid:durableId="506987787">
    <w:abstractNumId w:val="0"/>
  </w:num>
  <w:num w:numId="3" w16cid:durableId="1607691412">
    <w:abstractNumId w:val="7"/>
  </w:num>
  <w:num w:numId="4" w16cid:durableId="631666722">
    <w:abstractNumId w:val="9"/>
  </w:num>
  <w:num w:numId="5" w16cid:durableId="897742944">
    <w:abstractNumId w:val="3"/>
  </w:num>
  <w:num w:numId="6" w16cid:durableId="670911538">
    <w:abstractNumId w:val="5"/>
  </w:num>
  <w:num w:numId="7" w16cid:durableId="1622423219">
    <w:abstractNumId w:val="10"/>
  </w:num>
  <w:num w:numId="8" w16cid:durableId="1911495756">
    <w:abstractNumId w:val="2"/>
  </w:num>
  <w:num w:numId="9" w16cid:durableId="1012877131">
    <w:abstractNumId w:val="6"/>
  </w:num>
  <w:num w:numId="10" w16cid:durableId="1636836797">
    <w:abstractNumId w:val="8"/>
  </w:num>
  <w:num w:numId="11" w16cid:durableId="2035419470">
    <w:abstractNumId w:val="4"/>
  </w:num>
  <w:num w:numId="12" w16cid:durableId="208957570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CF"/>
    <w:rsid w:val="00004277"/>
    <w:rsid w:val="0000582F"/>
    <w:rsid w:val="00006753"/>
    <w:rsid w:val="000102B3"/>
    <w:rsid w:val="00013669"/>
    <w:rsid w:val="00015E1E"/>
    <w:rsid w:val="00021F33"/>
    <w:rsid w:val="00022490"/>
    <w:rsid w:val="00030667"/>
    <w:rsid w:val="000317F6"/>
    <w:rsid w:val="00036854"/>
    <w:rsid w:val="000372C8"/>
    <w:rsid w:val="00040275"/>
    <w:rsid w:val="00041A13"/>
    <w:rsid w:val="00042736"/>
    <w:rsid w:val="0005106D"/>
    <w:rsid w:val="00052603"/>
    <w:rsid w:val="00055726"/>
    <w:rsid w:val="0007055C"/>
    <w:rsid w:val="00073BB5"/>
    <w:rsid w:val="00075977"/>
    <w:rsid w:val="00090C89"/>
    <w:rsid w:val="00093F0A"/>
    <w:rsid w:val="000976C0"/>
    <w:rsid w:val="000A7581"/>
    <w:rsid w:val="000B19EE"/>
    <w:rsid w:val="000B5CE1"/>
    <w:rsid w:val="001002E2"/>
    <w:rsid w:val="0010465D"/>
    <w:rsid w:val="00105AC2"/>
    <w:rsid w:val="00111FFC"/>
    <w:rsid w:val="00116984"/>
    <w:rsid w:val="001253BB"/>
    <w:rsid w:val="0013307B"/>
    <w:rsid w:val="00166575"/>
    <w:rsid w:val="00175E47"/>
    <w:rsid w:val="00181621"/>
    <w:rsid w:val="001824D1"/>
    <w:rsid w:val="001918D4"/>
    <w:rsid w:val="001A6DAB"/>
    <w:rsid w:val="001B499C"/>
    <w:rsid w:val="001C0921"/>
    <w:rsid w:val="001C4BA3"/>
    <w:rsid w:val="001C63E0"/>
    <w:rsid w:val="001D0B22"/>
    <w:rsid w:val="001E072B"/>
    <w:rsid w:val="001E1215"/>
    <w:rsid w:val="001F5C79"/>
    <w:rsid w:val="00202B62"/>
    <w:rsid w:val="0021296F"/>
    <w:rsid w:val="00215284"/>
    <w:rsid w:val="002162FB"/>
    <w:rsid w:val="00230620"/>
    <w:rsid w:val="00232EFC"/>
    <w:rsid w:val="00246A88"/>
    <w:rsid w:val="0026728A"/>
    <w:rsid w:val="00287B35"/>
    <w:rsid w:val="00296AF7"/>
    <w:rsid w:val="002A1EDA"/>
    <w:rsid w:val="002A6D46"/>
    <w:rsid w:val="002E5493"/>
    <w:rsid w:val="002E6672"/>
    <w:rsid w:val="002F2AF8"/>
    <w:rsid w:val="002F467D"/>
    <w:rsid w:val="003111B4"/>
    <w:rsid w:val="00313A4C"/>
    <w:rsid w:val="00315A92"/>
    <w:rsid w:val="00316A14"/>
    <w:rsid w:val="00326D34"/>
    <w:rsid w:val="00332200"/>
    <w:rsid w:val="00353316"/>
    <w:rsid w:val="00370010"/>
    <w:rsid w:val="00373FA4"/>
    <w:rsid w:val="0038510C"/>
    <w:rsid w:val="003E456E"/>
    <w:rsid w:val="003F06AA"/>
    <w:rsid w:val="003F1812"/>
    <w:rsid w:val="00416013"/>
    <w:rsid w:val="00426A94"/>
    <w:rsid w:val="00430F52"/>
    <w:rsid w:val="00444626"/>
    <w:rsid w:val="00450AFA"/>
    <w:rsid w:val="00465A7F"/>
    <w:rsid w:val="004768F9"/>
    <w:rsid w:val="00477082"/>
    <w:rsid w:val="00486204"/>
    <w:rsid w:val="00494DF4"/>
    <w:rsid w:val="004B081E"/>
    <w:rsid w:val="004B21C5"/>
    <w:rsid w:val="004B31DE"/>
    <w:rsid w:val="004C4E83"/>
    <w:rsid w:val="004C7315"/>
    <w:rsid w:val="004C74F0"/>
    <w:rsid w:val="004D09B1"/>
    <w:rsid w:val="004D527B"/>
    <w:rsid w:val="004E2D38"/>
    <w:rsid w:val="004E686F"/>
    <w:rsid w:val="00504676"/>
    <w:rsid w:val="00525AA8"/>
    <w:rsid w:val="0053490A"/>
    <w:rsid w:val="0053722A"/>
    <w:rsid w:val="005432BA"/>
    <w:rsid w:val="0054664D"/>
    <w:rsid w:val="00550D0E"/>
    <w:rsid w:val="00551C10"/>
    <w:rsid w:val="0055579B"/>
    <w:rsid w:val="005638A8"/>
    <w:rsid w:val="00563D75"/>
    <w:rsid w:val="005830F0"/>
    <w:rsid w:val="005A33CF"/>
    <w:rsid w:val="005B18A3"/>
    <w:rsid w:val="005C7309"/>
    <w:rsid w:val="005F081A"/>
    <w:rsid w:val="005F1DB1"/>
    <w:rsid w:val="00634D62"/>
    <w:rsid w:val="00642573"/>
    <w:rsid w:val="00645D7E"/>
    <w:rsid w:val="006624E6"/>
    <w:rsid w:val="00683D8B"/>
    <w:rsid w:val="0069155D"/>
    <w:rsid w:val="006C6013"/>
    <w:rsid w:val="006D3F94"/>
    <w:rsid w:val="006D4287"/>
    <w:rsid w:val="006D5391"/>
    <w:rsid w:val="007032CE"/>
    <w:rsid w:val="00711B45"/>
    <w:rsid w:val="007126DD"/>
    <w:rsid w:val="00714766"/>
    <w:rsid w:val="007207B3"/>
    <w:rsid w:val="00725D86"/>
    <w:rsid w:val="00743820"/>
    <w:rsid w:val="00746640"/>
    <w:rsid w:val="007466D7"/>
    <w:rsid w:val="00752FFC"/>
    <w:rsid w:val="00795F0C"/>
    <w:rsid w:val="007A0648"/>
    <w:rsid w:val="007A39FF"/>
    <w:rsid w:val="007B60F6"/>
    <w:rsid w:val="007D1664"/>
    <w:rsid w:val="007D501F"/>
    <w:rsid w:val="007D787C"/>
    <w:rsid w:val="007E31ED"/>
    <w:rsid w:val="007E37EE"/>
    <w:rsid w:val="007E4752"/>
    <w:rsid w:val="007F0185"/>
    <w:rsid w:val="007F143C"/>
    <w:rsid w:val="007F1C99"/>
    <w:rsid w:val="007F3995"/>
    <w:rsid w:val="007F54FB"/>
    <w:rsid w:val="0082251B"/>
    <w:rsid w:val="00823B3B"/>
    <w:rsid w:val="00824D32"/>
    <w:rsid w:val="0083597A"/>
    <w:rsid w:val="00836D97"/>
    <w:rsid w:val="00840305"/>
    <w:rsid w:val="008437C7"/>
    <w:rsid w:val="00846C00"/>
    <w:rsid w:val="0085333A"/>
    <w:rsid w:val="00856936"/>
    <w:rsid w:val="0085718A"/>
    <w:rsid w:val="00864CF6"/>
    <w:rsid w:val="008658AA"/>
    <w:rsid w:val="00870C66"/>
    <w:rsid w:val="00872E47"/>
    <w:rsid w:val="0088783C"/>
    <w:rsid w:val="008A1E33"/>
    <w:rsid w:val="008B31EE"/>
    <w:rsid w:val="008C033F"/>
    <w:rsid w:val="008C3049"/>
    <w:rsid w:val="008C4F78"/>
    <w:rsid w:val="008E3EEE"/>
    <w:rsid w:val="009037A9"/>
    <w:rsid w:val="00925C04"/>
    <w:rsid w:val="009400A4"/>
    <w:rsid w:val="00942291"/>
    <w:rsid w:val="00943C97"/>
    <w:rsid w:val="00944F40"/>
    <w:rsid w:val="009724C7"/>
    <w:rsid w:val="00973537"/>
    <w:rsid w:val="009832F6"/>
    <w:rsid w:val="009857D2"/>
    <w:rsid w:val="00994408"/>
    <w:rsid w:val="00994EE7"/>
    <w:rsid w:val="009A4460"/>
    <w:rsid w:val="009B18D3"/>
    <w:rsid w:val="009B3A0D"/>
    <w:rsid w:val="009B4825"/>
    <w:rsid w:val="009B5148"/>
    <w:rsid w:val="009C43DC"/>
    <w:rsid w:val="009C70E4"/>
    <w:rsid w:val="009D5E5F"/>
    <w:rsid w:val="009E1F4B"/>
    <w:rsid w:val="009F015C"/>
    <w:rsid w:val="009F618D"/>
    <w:rsid w:val="009F6E05"/>
    <w:rsid w:val="00A00B8A"/>
    <w:rsid w:val="00A06AB0"/>
    <w:rsid w:val="00A2433C"/>
    <w:rsid w:val="00A27B5C"/>
    <w:rsid w:val="00A3373F"/>
    <w:rsid w:val="00A47062"/>
    <w:rsid w:val="00A529A7"/>
    <w:rsid w:val="00A553FE"/>
    <w:rsid w:val="00A559E0"/>
    <w:rsid w:val="00A60501"/>
    <w:rsid w:val="00A62337"/>
    <w:rsid w:val="00A672D5"/>
    <w:rsid w:val="00A704EA"/>
    <w:rsid w:val="00A8292C"/>
    <w:rsid w:val="00A82FAE"/>
    <w:rsid w:val="00A87C3A"/>
    <w:rsid w:val="00AA783C"/>
    <w:rsid w:val="00AB326D"/>
    <w:rsid w:val="00AB483B"/>
    <w:rsid w:val="00AB7299"/>
    <w:rsid w:val="00AC34A0"/>
    <w:rsid w:val="00AC432C"/>
    <w:rsid w:val="00AD6B48"/>
    <w:rsid w:val="00AE450E"/>
    <w:rsid w:val="00AF0DCA"/>
    <w:rsid w:val="00AF2034"/>
    <w:rsid w:val="00AF7AD1"/>
    <w:rsid w:val="00AF7B3B"/>
    <w:rsid w:val="00B0118D"/>
    <w:rsid w:val="00B143FF"/>
    <w:rsid w:val="00B1489E"/>
    <w:rsid w:val="00B15346"/>
    <w:rsid w:val="00B165D8"/>
    <w:rsid w:val="00B40893"/>
    <w:rsid w:val="00B61D25"/>
    <w:rsid w:val="00B761C9"/>
    <w:rsid w:val="00B931A2"/>
    <w:rsid w:val="00BA00CE"/>
    <w:rsid w:val="00BA3E84"/>
    <w:rsid w:val="00BB553D"/>
    <w:rsid w:val="00BD5C1B"/>
    <w:rsid w:val="00BD6B0C"/>
    <w:rsid w:val="00BF21E1"/>
    <w:rsid w:val="00BF3E0D"/>
    <w:rsid w:val="00BF633F"/>
    <w:rsid w:val="00BF6ADB"/>
    <w:rsid w:val="00C036A6"/>
    <w:rsid w:val="00C1006A"/>
    <w:rsid w:val="00C16981"/>
    <w:rsid w:val="00C26063"/>
    <w:rsid w:val="00C340FF"/>
    <w:rsid w:val="00C51DBC"/>
    <w:rsid w:val="00C6797E"/>
    <w:rsid w:val="00C70A7C"/>
    <w:rsid w:val="00C91EB5"/>
    <w:rsid w:val="00C94EAA"/>
    <w:rsid w:val="00CB1B25"/>
    <w:rsid w:val="00CC0475"/>
    <w:rsid w:val="00CC0A54"/>
    <w:rsid w:val="00CF059E"/>
    <w:rsid w:val="00CF52EC"/>
    <w:rsid w:val="00CF5460"/>
    <w:rsid w:val="00D1007C"/>
    <w:rsid w:val="00D225D3"/>
    <w:rsid w:val="00D25F7E"/>
    <w:rsid w:val="00D31BD1"/>
    <w:rsid w:val="00D33E0E"/>
    <w:rsid w:val="00D45B7A"/>
    <w:rsid w:val="00D53A1F"/>
    <w:rsid w:val="00D5734E"/>
    <w:rsid w:val="00D628CC"/>
    <w:rsid w:val="00D85E62"/>
    <w:rsid w:val="00DB0EEB"/>
    <w:rsid w:val="00DB1F20"/>
    <w:rsid w:val="00DB6818"/>
    <w:rsid w:val="00DC0C87"/>
    <w:rsid w:val="00DC147D"/>
    <w:rsid w:val="00DD2264"/>
    <w:rsid w:val="00DE7400"/>
    <w:rsid w:val="00DE7BFA"/>
    <w:rsid w:val="00DF01B9"/>
    <w:rsid w:val="00DF0FB6"/>
    <w:rsid w:val="00DF35CA"/>
    <w:rsid w:val="00DF408B"/>
    <w:rsid w:val="00E00204"/>
    <w:rsid w:val="00E067B6"/>
    <w:rsid w:val="00E13D84"/>
    <w:rsid w:val="00E20785"/>
    <w:rsid w:val="00E46B3B"/>
    <w:rsid w:val="00E61C47"/>
    <w:rsid w:val="00E621FB"/>
    <w:rsid w:val="00E65645"/>
    <w:rsid w:val="00E729C4"/>
    <w:rsid w:val="00E73EEF"/>
    <w:rsid w:val="00E74E6D"/>
    <w:rsid w:val="00E75A88"/>
    <w:rsid w:val="00E76E76"/>
    <w:rsid w:val="00E91C86"/>
    <w:rsid w:val="00E94FAE"/>
    <w:rsid w:val="00E961FA"/>
    <w:rsid w:val="00EA7062"/>
    <w:rsid w:val="00EB2354"/>
    <w:rsid w:val="00EC0FD1"/>
    <w:rsid w:val="00EE576F"/>
    <w:rsid w:val="00EF743F"/>
    <w:rsid w:val="00F0182F"/>
    <w:rsid w:val="00F01CD4"/>
    <w:rsid w:val="00F07BDE"/>
    <w:rsid w:val="00F07C03"/>
    <w:rsid w:val="00F21DE0"/>
    <w:rsid w:val="00F277BD"/>
    <w:rsid w:val="00F311F3"/>
    <w:rsid w:val="00F371B7"/>
    <w:rsid w:val="00F4159E"/>
    <w:rsid w:val="00F60D87"/>
    <w:rsid w:val="00F63D0A"/>
    <w:rsid w:val="00F6411F"/>
    <w:rsid w:val="00F7312F"/>
    <w:rsid w:val="00F75142"/>
    <w:rsid w:val="00F753E6"/>
    <w:rsid w:val="00F75CC5"/>
    <w:rsid w:val="00F840A2"/>
    <w:rsid w:val="00F84864"/>
    <w:rsid w:val="00F9032F"/>
    <w:rsid w:val="00F93C70"/>
    <w:rsid w:val="00F96C05"/>
    <w:rsid w:val="00FA3292"/>
    <w:rsid w:val="00FB2118"/>
    <w:rsid w:val="00FC6C9D"/>
    <w:rsid w:val="00FD3863"/>
    <w:rsid w:val="00FE1688"/>
    <w:rsid w:val="00FE665C"/>
    <w:rsid w:val="00FE68A1"/>
    <w:rsid w:val="00FF68B0"/>
    <w:rsid w:val="00FF7C17"/>
    <w:rsid w:val="01D68F49"/>
    <w:rsid w:val="0EC461F5"/>
    <w:rsid w:val="1441D4D1"/>
    <w:rsid w:val="180A6734"/>
    <w:rsid w:val="18B366E5"/>
    <w:rsid w:val="1C2C1CC6"/>
    <w:rsid w:val="1CD50431"/>
    <w:rsid w:val="31B8D688"/>
    <w:rsid w:val="3F749544"/>
    <w:rsid w:val="49CA5E43"/>
    <w:rsid w:val="5B63B007"/>
    <w:rsid w:val="6AB23873"/>
    <w:rsid w:val="7ECAF6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91680"/>
  <w15:chartTrackingRefBased/>
  <w15:docId w15:val="{662BFCD5-B32F-43E4-9ACF-7266E625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002E2"/>
    <w:pPr>
      <w:keepNext/>
      <w:spacing w:before="240" w:after="60" w:line="240" w:lineRule="auto"/>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5A33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16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A14"/>
  </w:style>
  <w:style w:type="paragraph" w:styleId="Footer">
    <w:name w:val="footer"/>
    <w:basedOn w:val="Normal"/>
    <w:link w:val="FooterChar"/>
    <w:unhideWhenUsed/>
    <w:rsid w:val="00316A14"/>
    <w:pPr>
      <w:tabs>
        <w:tab w:val="center" w:pos="4513"/>
        <w:tab w:val="right" w:pos="9026"/>
      </w:tabs>
      <w:spacing w:after="0" w:line="240" w:lineRule="auto"/>
    </w:pPr>
  </w:style>
  <w:style w:type="character" w:customStyle="1" w:styleId="FooterChar">
    <w:name w:val="Footer Char"/>
    <w:basedOn w:val="DefaultParagraphFont"/>
    <w:link w:val="Footer"/>
    <w:rsid w:val="00316A14"/>
  </w:style>
  <w:style w:type="paragraph" w:styleId="ListParagraph">
    <w:name w:val="List Paragraph"/>
    <w:aliases w:val="List Paragraph1,Single bullet style,Bullets,Table numbering"/>
    <w:basedOn w:val="Normal"/>
    <w:link w:val="ListParagraphChar"/>
    <w:uiPriority w:val="34"/>
    <w:qFormat/>
    <w:rsid w:val="00A62337"/>
    <w:pPr>
      <w:ind w:left="720"/>
      <w:contextualSpacing/>
    </w:pPr>
  </w:style>
  <w:style w:type="character" w:styleId="Hyperlink">
    <w:name w:val="Hyperlink"/>
    <w:basedOn w:val="DefaultParagraphFont"/>
    <w:uiPriority w:val="99"/>
    <w:unhideWhenUsed/>
    <w:rsid w:val="00A62337"/>
    <w:rPr>
      <w:color w:val="0563C1" w:themeColor="hyperlink"/>
      <w:u w:val="single"/>
    </w:rPr>
  </w:style>
  <w:style w:type="paragraph" w:styleId="BalloonText">
    <w:name w:val="Balloon Text"/>
    <w:basedOn w:val="Normal"/>
    <w:link w:val="BalloonTextChar"/>
    <w:uiPriority w:val="99"/>
    <w:semiHidden/>
    <w:unhideWhenUsed/>
    <w:rsid w:val="00105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C2"/>
    <w:rPr>
      <w:rFonts w:ascii="Segoe UI" w:hAnsi="Segoe UI" w:cs="Segoe UI"/>
      <w:sz w:val="18"/>
      <w:szCs w:val="18"/>
    </w:rPr>
  </w:style>
  <w:style w:type="table" w:styleId="TableGrid">
    <w:name w:val="Table Grid"/>
    <w:basedOn w:val="TableNormal"/>
    <w:uiPriority w:val="39"/>
    <w:rsid w:val="0099440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527B"/>
    <w:pPr>
      <w:spacing w:after="0" w:line="240" w:lineRule="auto"/>
    </w:pPr>
  </w:style>
  <w:style w:type="paragraph" w:customStyle="1" w:styleId="QABullets">
    <w:name w:val="QA Bullets"/>
    <w:basedOn w:val="Normal"/>
    <w:rsid w:val="00F75CC5"/>
    <w:pPr>
      <w:numPr>
        <w:numId w:val="4"/>
      </w:numPr>
      <w:tabs>
        <w:tab w:val="left" w:pos="1491"/>
        <w:tab w:val="left" w:pos="2340"/>
        <w:tab w:val="right" w:leader="dot" w:pos="9720"/>
      </w:tabs>
      <w:overflowPunct w:val="0"/>
      <w:autoSpaceDE w:val="0"/>
      <w:autoSpaceDN w:val="0"/>
      <w:adjustRightInd w:val="0"/>
      <w:spacing w:after="40" w:line="240" w:lineRule="auto"/>
      <w:textAlignment w:val="baseline"/>
    </w:pPr>
    <w:rPr>
      <w:rFonts w:ascii="Arial" w:eastAsia="SimSun" w:hAnsi="Arial" w:cs="Arial"/>
      <w:sz w:val="20"/>
      <w:szCs w:val="20"/>
      <w:lang w:eastAsia="en-US"/>
    </w:rPr>
  </w:style>
  <w:style w:type="character" w:styleId="PageNumber">
    <w:name w:val="page number"/>
    <w:basedOn w:val="DefaultParagraphFont"/>
    <w:rsid w:val="000976C0"/>
  </w:style>
  <w:style w:type="character" w:customStyle="1" w:styleId="ListParagraphChar">
    <w:name w:val="List Paragraph Char"/>
    <w:aliases w:val="List Paragraph1 Char,Single bullet style Char,Bullets Char,Table numbering Char"/>
    <w:basedOn w:val="DefaultParagraphFont"/>
    <w:link w:val="ListParagraph"/>
    <w:uiPriority w:val="34"/>
    <w:rsid w:val="00013669"/>
  </w:style>
  <w:style w:type="character" w:customStyle="1" w:styleId="Heading2Char">
    <w:name w:val="Heading 2 Char"/>
    <w:basedOn w:val="DefaultParagraphFont"/>
    <w:link w:val="Heading2"/>
    <w:rsid w:val="001002E2"/>
    <w:rPr>
      <w:rFonts w:ascii="Arial" w:eastAsia="Times New Roman" w:hAnsi="Arial" w:cs="Arial"/>
      <w:b/>
      <w:bCs/>
      <w:i/>
      <w:iCs/>
      <w:sz w:val="28"/>
      <w:szCs w:val="28"/>
      <w:lang w:eastAsia="en-US"/>
    </w:rPr>
  </w:style>
  <w:style w:type="paragraph" w:styleId="BodyText">
    <w:name w:val="Body Text"/>
    <w:basedOn w:val="Normal"/>
    <w:link w:val="BodyTextChar"/>
    <w:uiPriority w:val="99"/>
    <w:unhideWhenUsed/>
    <w:rsid w:val="004768F9"/>
    <w:pPr>
      <w:spacing w:after="0" w:line="240" w:lineRule="auto"/>
      <w:jc w:val="both"/>
    </w:pPr>
    <w:rPr>
      <w:rFonts w:ascii="Arial" w:eastAsia="Times New Roman" w:hAnsi="Arial" w:cs="Arial"/>
      <w:szCs w:val="24"/>
      <w:lang w:val="en-US" w:eastAsia="en-US"/>
    </w:rPr>
  </w:style>
  <w:style w:type="character" w:customStyle="1" w:styleId="BodyTextChar">
    <w:name w:val="Body Text Char"/>
    <w:basedOn w:val="DefaultParagraphFont"/>
    <w:link w:val="BodyText"/>
    <w:uiPriority w:val="99"/>
    <w:rsid w:val="004768F9"/>
    <w:rPr>
      <w:rFonts w:ascii="Arial" w:eastAsia="Times New Roman" w:hAnsi="Arial" w:cs="Arial"/>
      <w:szCs w:val="24"/>
      <w:lang w:val="en-US" w:eastAsia="en-US"/>
    </w:rPr>
  </w:style>
  <w:style w:type="character" w:styleId="UnresolvedMention">
    <w:name w:val="Unresolved Mention"/>
    <w:basedOn w:val="DefaultParagraphFont"/>
    <w:uiPriority w:val="99"/>
    <w:semiHidden/>
    <w:unhideWhenUsed/>
    <w:rsid w:val="00DE7BFA"/>
    <w:rPr>
      <w:color w:val="605E5C"/>
      <w:shd w:val="clear" w:color="auto" w:fill="E1DFDD"/>
    </w:rPr>
  </w:style>
  <w:style w:type="paragraph" w:customStyle="1" w:styleId="paragraph">
    <w:name w:val="paragraph"/>
    <w:basedOn w:val="Normal"/>
    <w:rsid w:val="0007055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3945">
      <w:bodyDiv w:val="1"/>
      <w:marLeft w:val="0"/>
      <w:marRight w:val="0"/>
      <w:marTop w:val="0"/>
      <w:marBottom w:val="0"/>
      <w:divBdr>
        <w:top w:val="none" w:sz="0" w:space="0" w:color="auto"/>
        <w:left w:val="none" w:sz="0" w:space="0" w:color="auto"/>
        <w:bottom w:val="none" w:sz="0" w:space="0" w:color="auto"/>
        <w:right w:val="none" w:sz="0" w:space="0" w:color="auto"/>
      </w:divBdr>
    </w:div>
    <w:div w:id="499925745">
      <w:bodyDiv w:val="1"/>
      <w:marLeft w:val="0"/>
      <w:marRight w:val="0"/>
      <w:marTop w:val="0"/>
      <w:marBottom w:val="0"/>
      <w:divBdr>
        <w:top w:val="none" w:sz="0" w:space="0" w:color="auto"/>
        <w:left w:val="none" w:sz="0" w:space="0" w:color="auto"/>
        <w:bottom w:val="none" w:sz="0" w:space="0" w:color="auto"/>
        <w:right w:val="none" w:sz="0" w:space="0" w:color="auto"/>
      </w:divBdr>
    </w:div>
    <w:div w:id="1260529995">
      <w:bodyDiv w:val="1"/>
      <w:marLeft w:val="0"/>
      <w:marRight w:val="0"/>
      <w:marTop w:val="0"/>
      <w:marBottom w:val="0"/>
      <w:divBdr>
        <w:top w:val="none" w:sz="0" w:space="0" w:color="auto"/>
        <w:left w:val="none" w:sz="0" w:space="0" w:color="auto"/>
        <w:bottom w:val="none" w:sz="0" w:space="0" w:color="auto"/>
        <w:right w:val="none" w:sz="0" w:space="0" w:color="auto"/>
      </w:divBdr>
    </w:div>
    <w:div w:id="1611862284">
      <w:bodyDiv w:val="1"/>
      <w:marLeft w:val="0"/>
      <w:marRight w:val="0"/>
      <w:marTop w:val="0"/>
      <w:marBottom w:val="0"/>
      <w:divBdr>
        <w:top w:val="none" w:sz="0" w:space="0" w:color="auto"/>
        <w:left w:val="none" w:sz="0" w:space="0" w:color="auto"/>
        <w:bottom w:val="none" w:sz="0" w:space="0" w:color="auto"/>
        <w:right w:val="none" w:sz="0" w:space="0" w:color="auto"/>
      </w:divBdr>
      <w:divsChild>
        <w:div w:id="2065761210">
          <w:marLeft w:val="0"/>
          <w:marRight w:val="0"/>
          <w:marTop w:val="0"/>
          <w:marBottom w:val="0"/>
          <w:divBdr>
            <w:top w:val="none" w:sz="0" w:space="0" w:color="auto"/>
            <w:left w:val="none" w:sz="0" w:space="0" w:color="auto"/>
            <w:bottom w:val="none" w:sz="0" w:space="0" w:color="auto"/>
            <w:right w:val="none" w:sz="0" w:space="0" w:color="auto"/>
          </w:divBdr>
        </w:div>
        <w:div w:id="172228632">
          <w:marLeft w:val="0"/>
          <w:marRight w:val="0"/>
          <w:marTop w:val="0"/>
          <w:marBottom w:val="0"/>
          <w:divBdr>
            <w:top w:val="none" w:sz="0" w:space="0" w:color="auto"/>
            <w:left w:val="none" w:sz="0" w:space="0" w:color="auto"/>
            <w:bottom w:val="none" w:sz="0" w:space="0" w:color="auto"/>
            <w:right w:val="none" w:sz="0" w:space="0" w:color="auto"/>
          </w:divBdr>
        </w:div>
        <w:div w:id="441875740">
          <w:marLeft w:val="0"/>
          <w:marRight w:val="0"/>
          <w:marTop w:val="0"/>
          <w:marBottom w:val="0"/>
          <w:divBdr>
            <w:top w:val="none" w:sz="0" w:space="0" w:color="auto"/>
            <w:left w:val="none" w:sz="0" w:space="0" w:color="auto"/>
            <w:bottom w:val="none" w:sz="0" w:space="0" w:color="auto"/>
            <w:right w:val="none" w:sz="0" w:space="0" w:color="auto"/>
          </w:divBdr>
        </w:div>
        <w:div w:id="1065225038">
          <w:marLeft w:val="0"/>
          <w:marRight w:val="0"/>
          <w:marTop w:val="0"/>
          <w:marBottom w:val="0"/>
          <w:divBdr>
            <w:top w:val="none" w:sz="0" w:space="0" w:color="auto"/>
            <w:left w:val="none" w:sz="0" w:space="0" w:color="auto"/>
            <w:bottom w:val="none" w:sz="0" w:space="0" w:color="auto"/>
            <w:right w:val="none" w:sz="0" w:space="0" w:color="auto"/>
          </w:divBdr>
        </w:div>
        <w:div w:id="1144421677">
          <w:marLeft w:val="0"/>
          <w:marRight w:val="0"/>
          <w:marTop w:val="0"/>
          <w:marBottom w:val="0"/>
          <w:divBdr>
            <w:top w:val="none" w:sz="0" w:space="0" w:color="auto"/>
            <w:left w:val="none" w:sz="0" w:space="0" w:color="auto"/>
            <w:bottom w:val="none" w:sz="0" w:space="0" w:color="auto"/>
            <w:right w:val="none" w:sz="0" w:space="0" w:color="auto"/>
          </w:divBdr>
        </w:div>
      </w:divsChild>
    </w:div>
    <w:div w:id="1731879992">
      <w:bodyDiv w:val="1"/>
      <w:marLeft w:val="0"/>
      <w:marRight w:val="0"/>
      <w:marTop w:val="0"/>
      <w:marBottom w:val="0"/>
      <w:divBdr>
        <w:top w:val="none" w:sz="0" w:space="0" w:color="auto"/>
        <w:left w:val="none" w:sz="0" w:space="0" w:color="auto"/>
        <w:bottom w:val="none" w:sz="0" w:space="0" w:color="auto"/>
        <w:right w:val="none" w:sz="0" w:space="0" w:color="auto"/>
      </w:divBdr>
    </w:div>
    <w:div w:id="2073502473">
      <w:bodyDiv w:val="1"/>
      <w:marLeft w:val="0"/>
      <w:marRight w:val="0"/>
      <w:marTop w:val="0"/>
      <w:marBottom w:val="0"/>
      <w:divBdr>
        <w:top w:val="none" w:sz="0" w:space="0" w:color="auto"/>
        <w:left w:val="none" w:sz="0" w:space="0" w:color="auto"/>
        <w:bottom w:val="none" w:sz="0" w:space="0" w:color="auto"/>
        <w:right w:val="none" w:sz="0" w:space="0" w:color="auto"/>
      </w:divBdr>
    </w:div>
    <w:div w:id="21051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y@gbca.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669A2F00022C43A7F6F02072A1F2FA" ma:contentTypeVersion="12" ma:contentTypeDescription="Create a new document." ma:contentTypeScope="" ma:versionID="aacd8bd9115b8ff96132dec2bb20a083">
  <xsd:schema xmlns:xsd="http://www.w3.org/2001/XMLSchema" xmlns:xs="http://www.w3.org/2001/XMLSchema" xmlns:p="http://schemas.microsoft.com/office/2006/metadata/properties" xmlns:ns2="38569cdb-6b87-4840-af9e-384f4083c584" xmlns:ns3="fc32eec7-ea71-4d5d-965d-3efe950fe608" targetNamespace="http://schemas.microsoft.com/office/2006/metadata/properties" ma:root="true" ma:fieldsID="3f84a26e79d1dab4f7f949f22f17932b" ns2:_="" ns3:_="">
    <xsd:import namespace="38569cdb-6b87-4840-af9e-384f4083c584"/>
    <xsd:import namespace="fc32eec7-ea71-4d5d-965d-3efe950fe6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69cdb-6b87-4840-af9e-384f4083c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2eec7-ea71-4d5d-965d-3efe950fe6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C774D-00D1-4E1E-AE7F-BFE888C24281}">
  <ds:schemaRefs>
    <ds:schemaRef ds:uri="http://schemas.microsoft.com/sharepoint/v3/contenttype/forms"/>
  </ds:schemaRefs>
</ds:datastoreItem>
</file>

<file path=customXml/itemProps2.xml><?xml version="1.0" encoding="utf-8"?>
<ds:datastoreItem xmlns:ds="http://schemas.openxmlformats.org/officeDocument/2006/customXml" ds:itemID="{ECE58BEF-7EA8-41D6-82E0-7A0E7132F03B}"/>
</file>

<file path=customXml/itemProps3.xml><?xml version="1.0" encoding="utf-8"?>
<ds:datastoreItem xmlns:ds="http://schemas.openxmlformats.org/officeDocument/2006/customXml" ds:itemID="{8B76F8C3-055A-46E4-8810-7F7F1B84C5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99B39-69A4-4186-95B6-0D5663CD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GBCA GBCA</dc:creator>
  <cp:keywords/>
  <dc:description/>
  <cp:lastModifiedBy>Anh Tran</cp:lastModifiedBy>
  <cp:revision>25</cp:revision>
  <cp:lastPrinted>2023-03-09T04:50:00Z</cp:lastPrinted>
  <dcterms:created xsi:type="dcterms:W3CDTF">2023-02-28T01:08:00Z</dcterms:created>
  <dcterms:modified xsi:type="dcterms:W3CDTF">2024-10-04T05:09:00Z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0x010100B0669A2F00022C43A7F6F02072A1F2FA</vt:lpwstr>
  </property>
  <property fmtid="{D5CDD505-2E9C-101B-9397-08002B2CF9AE}" pid="3" name="Order">
    <vt:r8>2960100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